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page" w:tblpXSpec="center" w:tblpY="810"/>
        <w:tblW w:w="9724" w:type="dxa"/>
        <w:tblInd w:w="-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1000"/>
        <w:gridCol w:w="5098"/>
        <w:gridCol w:w="895"/>
        <w:gridCol w:w="700"/>
        <w:gridCol w:w="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评价项目</w:t>
            </w:r>
          </w:p>
        </w:tc>
        <w:tc>
          <w:tcPr>
            <w:tcW w:w="699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评价内涵及要求</w:t>
            </w:r>
          </w:p>
        </w:tc>
        <w:tc>
          <w:tcPr>
            <w:tcW w:w="1567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1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达   标</w:t>
            </w:r>
          </w:p>
        </w:tc>
        <w:tc>
          <w:tcPr>
            <w:tcW w:w="895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不达标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达标</w:t>
            </w:r>
          </w:p>
        </w:tc>
        <w:tc>
          <w:tcPr>
            <w:tcW w:w="867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课程团队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课程负责人或负责教师具备高校教师资格，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主讲教师具备良好的师德师风，具有丰富的教学经验、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教学团队能满足教学需要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8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不满足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课程标准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课程目标定位清晰，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描述准确具体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符合学校办学定位和人才培养目标，坚持立德树人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，注重知识、能力、素质培养。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有一项不满足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课程标准完整规范，课程设计思路清晰，结构体系完整，学时数与专业人才培养方案相符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课程内容设计科学合理，对教学能起指导作用，有过程性评价设计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16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教学内容新颖，信息量大，具有学术性、前沿性；内容安排合理，符合课程教学目标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有一项不满足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164" w:type="dxa"/>
            <w:vMerge w:val="continue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cs="Times New Roman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落实课程思政建设要求，通过专业知识教育与思想政治教育的紧密融合，将价值塑造、知识传授和能力培养三者融为一体。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164" w:type="dxa"/>
            <w:vMerge w:val="continue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实践教学内容能够认真落实，实验开出率</w:t>
            </w:r>
            <w:r>
              <w:rPr>
                <w:rFonts w:cs="Times New Roman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95%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cs="Times New Roman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理论教学与实验教学内容配置合理，综合性实验项目≥50%，有设计性实验项目。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64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教学条件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教材选用符合课程目标，符合学校教材选用规定，近2年开设的新课程至少有讲义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有一项不满足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164" w:type="dxa"/>
            <w:vMerge w:val="continue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实验室、实验设备及实习实践基地能满足教学需要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网络课程资源</w:t>
            </w: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课程介绍及课程团队信息已上线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有一项不满足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课程标准已上线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教学设计与方法已上线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教材、参考教材及参考资料等教学资源简介已上线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ascii="Times New Roman" w:cs="Times New Roman" w:hAnsiTheme="minorEastAsia"/>
                <w:kern w:val="0"/>
                <w:szCs w:val="21"/>
              </w:rPr>
              <w:t>教案或课件（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ppt</w:t>
            </w:r>
            <w:r>
              <w:rPr>
                <w:rFonts w:ascii="Times New Roman" w:cs="Times New Roman" w:hAnsiTheme="minorEastAsia"/>
                <w:kern w:val="0"/>
                <w:szCs w:val="21"/>
              </w:rPr>
              <w:t>）已上线</w:t>
            </w:r>
            <w:r>
              <w:rPr>
                <w:rFonts w:hint="eastAsia" w:ascii="Times New Roman" w:cs="Times New Roman" w:hAnsiTheme="minorEastAsia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课程考核评价方法</w:t>
            </w:r>
            <w:r>
              <w:rPr>
                <w:rFonts w:ascii="Times New Roman" w:cs="Times New Roman" w:hAnsiTheme="minorEastAsia"/>
                <w:kern w:val="0"/>
                <w:szCs w:val="21"/>
              </w:rPr>
              <w:t>已上线</w:t>
            </w:r>
            <w:r>
              <w:rPr>
                <w:rFonts w:hint="eastAsia" w:ascii="Times New Roman" w:cs="Times New Roman" w:hAnsiTheme="minorEastAsia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09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课程无危害国家安全、涉密及其他不适宜网络公开传播的内容，无侵犯他人知识产权内容。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1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教学方法及手段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教学方法得当有效，理论联系实际，能被学生接受，注重学生应用能力和终身学习能力的培养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两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项不满足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1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能积极开展课堂教学模式改革和实验实践教学改革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64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能根据课程特点合理使用现代教育技术教学手段，方式灵活，激发学生的学习兴趣和学习动机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课程考核评价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采用过程性评价和终结性评价方法考核学生学习成绩，各部分占比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明确，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符合学校要求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有一项不满足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164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考核过程规范，命题、阅卷、归档等环节符合学校教学规程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教学效果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专家、同行听课评价整体满意，无不良反映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／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教学效果良好，学生评教满意率在良好以上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9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1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课程特色</w:t>
            </w:r>
          </w:p>
        </w:tc>
        <w:tc>
          <w:tcPr>
            <w:tcW w:w="6098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课程在教学条件、教学方法、评价手段、教学成果等方面具有较鲜明的特色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8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／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丽水学院达标课程验收评价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  <w:t>指标</w:t>
      </w:r>
    </w:p>
    <w:p>
      <w:pPr>
        <w:jc w:val="left"/>
        <w:rPr>
          <w:rFonts w:ascii="黑体" w:hAnsi="黑体" w:eastAsia="黑体" w:cs="宋体"/>
          <w:color w:val="000000"/>
          <w:kern w:val="0"/>
          <w:szCs w:val="21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7A"/>
    <w:rsid w:val="00147ABE"/>
    <w:rsid w:val="002A7FEE"/>
    <w:rsid w:val="004944E8"/>
    <w:rsid w:val="004A4274"/>
    <w:rsid w:val="004B44CB"/>
    <w:rsid w:val="0054634C"/>
    <w:rsid w:val="00631C32"/>
    <w:rsid w:val="00757A0E"/>
    <w:rsid w:val="007B6A66"/>
    <w:rsid w:val="008212E5"/>
    <w:rsid w:val="00851EAC"/>
    <w:rsid w:val="00860DCE"/>
    <w:rsid w:val="00914F2E"/>
    <w:rsid w:val="0096059E"/>
    <w:rsid w:val="00975545"/>
    <w:rsid w:val="009C50B3"/>
    <w:rsid w:val="00A25C8A"/>
    <w:rsid w:val="00A37BAE"/>
    <w:rsid w:val="00A8657A"/>
    <w:rsid w:val="00B37E2F"/>
    <w:rsid w:val="00B86F3E"/>
    <w:rsid w:val="00CC17B9"/>
    <w:rsid w:val="00DD07CD"/>
    <w:rsid w:val="00DD7985"/>
    <w:rsid w:val="00E147FD"/>
    <w:rsid w:val="00E24C78"/>
    <w:rsid w:val="00F34065"/>
    <w:rsid w:val="00FA5122"/>
    <w:rsid w:val="057C5283"/>
    <w:rsid w:val="090725C6"/>
    <w:rsid w:val="0BE76A21"/>
    <w:rsid w:val="0C8E0BC0"/>
    <w:rsid w:val="1854692C"/>
    <w:rsid w:val="1B91264A"/>
    <w:rsid w:val="1C40713E"/>
    <w:rsid w:val="29B23476"/>
    <w:rsid w:val="2C122BAF"/>
    <w:rsid w:val="2F8F3F28"/>
    <w:rsid w:val="2FE93EDF"/>
    <w:rsid w:val="307D339D"/>
    <w:rsid w:val="330D24BC"/>
    <w:rsid w:val="37E91473"/>
    <w:rsid w:val="3C842052"/>
    <w:rsid w:val="420E548F"/>
    <w:rsid w:val="4586248D"/>
    <w:rsid w:val="46E718C4"/>
    <w:rsid w:val="574E5DDD"/>
    <w:rsid w:val="5C815F2F"/>
    <w:rsid w:val="688A0583"/>
    <w:rsid w:val="6E71279C"/>
    <w:rsid w:val="721B3A27"/>
    <w:rsid w:val="7D91133F"/>
    <w:rsid w:val="7E6862DB"/>
    <w:rsid w:val="7F4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810</Characters>
  <Lines>6</Lines>
  <Paragraphs>1</Paragraphs>
  <TotalTime>0</TotalTime>
  <ScaleCrop>false</ScaleCrop>
  <LinksUpToDate>false</LinksUpToDate>
  <CharactersWithSpaces>951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2017-06-27T14:52:00Z</dcterms:created>
  <dc:creator>admin</dc:creator>
  <cp:lastModifiedBy>杜</cp:lastModifiedBy>
  <dcterms:modified xsi:type="dcterms:W3CDTF">2022-03-16T00:30:19Z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