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仿宋_GB2312"/>
          <w:color w:val="000000" w:themeColor="text1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_GB2312"/>
          <w:color w:val="000000" w:themeColor="text1"/>
          <w:sz w:val="32"/>
          <w:szCs w:val="32"/>
        </w:rPr>
        <w:t>丽水学院</w:t>
      </w:r>
      <w:r>
        <w:rPr>
          <w:rFonts w:hint="eastAsia" w:ascii="黑体" w:hAnsi="黑体" w:eastAsia="黑体" w:cs="仿宋_GB2312"/>
          <w:color w:val="000000" w:themeColor="text1"/>
          <w:sz w:val="32"/>
          <w:szCs w:val="32"/>
          <w:lang w:eastAsia="zh-CN"/>
        </w:rPr>
        <w:t>省级</w:t>
      </w:r>
      <w:r>
        <w:rPr>
          <w:rFonts w:hint="eastAsia" w:ascii="黑体" w:hAnsi="黑体" w:eastAsia="黑体" w:cs="仿宋_GB2312"/>
          <w:color w:val="000000" w:themeColor="text1"/>
          <w:sz w:val="32"/>
          <w:szCs w:val="32"/>
        </w:rPr>
        <w:t>一流本科专业建设计划表</w:t>
      </w:r>
    </w:p>
    <w:tbl>
      <w:tblPr>
        <w:tblStyle w:val="5"/>
        <w:tblW w:w="93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596"/>
        <w:gridCol w:w="1798"/>
        <w:gridCol w:w="2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448" w:type="dxa"/>
            <w:vAlign w:val="center"/>
          </w:tcPr>
          <w:p>
            <w:pPr>
              <w:widowControl w:val="0"/>
              <w:spacing w:after="0" w:line="220" w:lineRule="atLeast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  <w:t>专业名称</w:t>
            </w:r>
          </w:p>
        </w:tc>
        <w:tc>
          <w:tcPr>
            <w:tcW w:w="2596" w:type="dxa"/>
            <w:vAlign w:val="center"/>
          </w:tcPr>
          <w:p>
            <w:pPr>
              <w:widowControl w:val="0"/>
              <w:spacing w:after="0" w:line="220" w:lineRule="atLeast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1798" w:type="dxa"/>
            <w:vAlign w:val="center"/>
          </w:tcPr>
          <w:p>
            <w:pPr>
              <w:widowControl w:val="0"/>
              <w:spacing w:after="0" w:line="220" w:lineRule="atLeast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  <w:t>专业代码</w:t>
            </w:r>
          </w:p>
        </w:tc>
        <w:tc>
          <w:tcPr>
            <w:tcW w:w="2466" w:type="dxa"/>
            <w:vAlign w:val="center"/>
          </w:tcPr>
          <w:p>
            <w:pPr>
              <w:widowControl w:val="0"/>
              <w:spacing w:after="0" w:line="220" w:lineRule="atLeast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2448" w:type="dxa"/>
            <w:vAlign w:val="center"/>
          </w:tcPr>
          <w:p>
            <w:pPr>
              <w:widowControl w:val="0"/>
              <w:spacing w:after="0" w:line="220" w:lineRule="atLeast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  <w:t>专业负责人</w:t>
            </w:r>
          </w:p>
        </w:tc>
        <w:tc>
          <w:tcPr>
            <w:tcW w:w="2596" w:type="dxa"/>
            <w:vAlign w:val="center"/>
          </w:tcPr>
          <w:p>
            <w:pPr>
              <w:widowControl w:val="0"/>
              <w:spacing w:after="0" w:line="220" w:lineRule="atLeast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1798" w:type="dxa"/>
            <w:vAlign w:val="center"/>
          </w:tcPr>
          <w:p>
            <w:pPr>
              <w:widowControl w:val="0"/>
              <w:spacing w:after="0" w:line="220" w:lineRule="atLeast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  <w:t>二级学院</w:t>
            </w:r>
          </w:p>
        </w:tc>
        <w:tc>
          <w:tcPr>
            <w:tcW w:w="2466" w:type="dxa"/>
            <w:vAlign w:val="center"/>
          </w:tcPr>
          <w:p>
            <w:pPr>
              <w:widowControl w:val="0"/>
              <w:spacing w:after="0" w:line="220" w:lineRule="atLeast"/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8" w:hRule="atLeast"/>
          <w:jc w:val="center"/>
        </w:trPr>
        <w:tc>
          <w:tcPr>
            <w:tcW w:w="2448" w:type="dxa"/>
            <w:vAlign w:val="center"/>
          </w:tcPr>
          <w:p>
            <w:pPr>
              <w:widowControl w:val="0"/>
              <w:spacing w:after="0" w:line="220" w:lineRule="atLeast"/>
              <w:jc w:val="center"/>
              <w:rPr>
                <w:rFonts w:cs="Times New Roman" w:asciiTheme="minorEastAsia" w:hAnsiTheme="minorEastAsia" w:eastAsiaTheme="minorEastAsia"/>
                <w:color w:val="000000" w:themeColor="text1"/>
                <w:sz w:val="28"/>
                <w:szCs w:val="28"/>
              </w:rPr>
            </w:pP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一流本科专业建设总体计划（2</w:t>
            </w:r>
            <w:r>
              <w:rPr>
                <w:rFonts w:cs="Times New Roman" w:asciiTheme="minorEastAsia" w:hAnsiTheme="minorEastAsia" w:eastAsiaTheme="minorEastAsia"/>
                <w:sz w:val="28"/>
                <w:szCs w:val="28"/>
              </w:rPr>
              <w:t>02</w:t>
            </w: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-</w:t>
            </w:r>
            <w:r>
              <w:rPr>
                <w:rFonts w:cs="Times New Roman" w:asciiTheme="minorEastAsia" w:hAnsiTheme="minorEastAsia" w:eastAsiaTheme="minorEastAsia"/>
                <w:sz w:val="28"/>
                <w:szCs w:val="28"/>
              </w:rPr>
              <w:t>202</w:t>
            </w: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</w:rPr>
              <w:t>年）</w:t>
            </w:r>
          </w:p>
        </w:tc>
        <w:tc>
          <w:tcPr>
            <w:tcW w:w="6860" w:type="dxa"/>
            <w:gridSpan w:val="3"/>
          </w:tcPr>
          <w:p>
            <w:pPr>
              <w:widowControl w:val="0"/>
              <w:spacing w:line="220" w:lineRule="atLeast"/>
              <w:jc w:val="both"/>
              <w:rPr>
                <w:rFonts w:ascii="仿宋" w:hAnsi="仿宋" w:eastAsia="仿宋" w:cs="Times New Roman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000000" w:themeColor="text1"/>
                <w:sz w:val="28"/>
                <w:szCs w:val="28"/>
              </w:rPr>
              <w:t>科学谋划专业建设长远规划，统筹考虑一流本科专业三年建设计划，结合省级一流本科专业建设点申报表中的专业建设思路与举措，分别从</w:t>
            </w:r>
            <w:r>
              <w:rPr>
                <w:rFonts w:hint="eastAsia" w:ascii="仿宋" w:hAnsi="仿宋" w:eastAsia="仿宋" w:cs="Times New Roman"/>
                <w:b/>
                <w:bCs/>
                <w:color w:val="000000" w:themeColor="text1"/>
                <w:sz w:val="28"/>
                <w:szCs w:val="28"/>
                <w:lang w:eastAsia="zh-CN"/>
              </w:rPr>
              <w:t>教学团队</w:t>
            </w:r>
            <w:r>
              <w:rPr>
                <w:rFonts w:hint="eastAsia" w:ascii="仿宋" w:hAnsi="仿宋" w:eastAsia="仿宋" w:cs="Times New Roman"/>
                <w:b/>
                <w:bCs/>
                <w:color w:val="000000" w:themeColor="text1"/>
                <w:sz w:val="28"/>
                <w:szCs w:val="28"/>
              </w:rPr>
              <w:t>建设、课程建设、教材建设、教学改革、实验和实践教学</w:t>
            </w:r>
            <w:r>
              <w:rPr>
                <w:rFonts w:hint="eastAsia" w:ascii="仿宋" w:hAnsi="仿宋" w:eastAsia="仿宋" w:cs="Times New Roman"/>
                <w:b/>
                <w:bCs/>
                <w:color w:val="000000" w:themeColor="text1"/>
                <w:sz w:val="28"/>
                <w:szCs w:val="28"/>
                <w:highlight w:val="none"/>
              </w:rPr>
              <w:t>、</w:t>
            </w:r>
            <w:r>
              <w:rPr>
                <w:rFonts w:hint="eastAsia" w:ascii="仿宋" w:hAnsi="仿宋" w:eastAsia="仿宋" w:cs="Times New Roman"/>
                <w:b/>
                <w:bCs/>
                <w:color w:val="000000" w:themeColor="text1"/>
                <w:sz w:val="28"/>
                <w:szCs w:val="28"/>
              </w:rPr>
              <w:t>等方面分年度逐条列出三年具体实施计划和预期目标。</w:t>
            </w:r>
          </w:p>
          <w:p>
            <w:pPr>
              <w:widowControl w:val="0"/>
              <w:spacing w:line="220" w:lineRule="atLeast"/>
              <w:jc w:val="both"/>
              <w:rPr>
                <w:rFonts w:cs="Times New Roman" w:asciiTheme="majorEastAsia" w:hAnsiTheme="majorEastAsia" w:eastAsiaTheme="majorEastAsia"/>
                <w:color w:val="000000" w:themeColor="text1"/>
                <w:sz w:val="24"/>
                <w:szCs w:val="24"/>
              </w:rPr>
            </w:pPr>
          </w:p>
        </w:tc>
      </w:tr>
    </w:tbl>
    <w:p>
      <w:pPr>
        <w:spacing w:line="220" w:lineRule="atLeast"/>
        <w:rPr>
          <w:rFonts w:asciiTheme="majorEastAsia" w:hAnsiTheme="majorEastAsia" w:eastAsiaTheme="majorEastAsia"/>
          <w:color w:val="000000" w:themeColor="text1"/>
          <w:sz w:val="24"/>
          <w:szCs w:val="24"/>
        </w:rPr>
      </w:pPr>
    </w:p>
    <w:sectPr>
      <w:pgSz w:w="11906" w:h="16838"/>
      <w:pgMar w:top="1440" w:right="1797" w:bottom="873" w:left="1797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249E"/>
    <w:rsid w:val="00002717"/>
    <w:rsid w:val="0002126D"/>
    <w:rsid w:val="00022E21"/>
    <w:rsid w:val="000425B2"/>
    <w:rsid w:val="0005127B"/>
    <w:rsid w:val="00074955"/>
    <w:rsid w:val="000B4407"/>
    <w:rsid w:val="000E28F5"/>
    <w:rsid w:val="0011156B"/>
    <w:rsid w:val="00115870"/>
    <w:rsid w:val="001274A8"/>
    <w:rsid w:val="00156C35"/>
    <w:rsid w:val="00163845"/>
    <w:rsid w:val="001773CA"/>
    <w:rsid w:val="001A3EC4"/>
    <w:rsid w:val="001A6B5B"/>
    <w:rsid w:val="001D0138"/>
    <w:rsid w:val="001F6D2D"/>
    <w:rsid w:val="00201F26"/>
    <w:rsid w:val="00202757"/>
    <w:rsid w:val="00213B91"/>
    <w:rsid w:val="00224B78"/>
    <w:rsid w:val="00270F12"/>
    <w:rsid w:val="0027519E"/>
    <w:rsid w:val="00296223"/>
    <w:rsid w:val="002A2CBD"/>
    <w:rsid w:val="002A467D"/>
    <w:rsid w:val="002A5E7D"/>
    <w:rsid w:val="002D7C95"/>
    <w:rsid w:val="002F5B2B"/>
    <w:rsid w:val="00314A16"/>
    <w:rsid w:val="00323B43"/>
    <w:rsid w:val="00325BC5"/>
    <w:rsid w:val="003313A4"/>
    <w:rsid w:val="003319E0"/>
    <w:rsid w:val="00334DC1"/>
    <w:rsid w:val="003748E2"/>
    <w:rsid w:val="003C32BB"/>
    <w:rsid w:val="003D0CA9"/>
    <w:rsid w:val="003D37D8"/>
    <w:rsid w:val="003E1035"/>
    <w:rsid w:val="003E5C90"/>
    <w:rsid w:val="003F2824"/>
    <w:rsid w:val="00421201"/>
    <w:rsid w:val="00426133"/>
    <w:rsid w:val="004358AB"/>
    <w:rsid w:val="00443282"/>
    <w:rsid w:val="00451560"/>
    <w:rsid w:val="00453A68"/>
    <w:rsid w:val="0047469C"/>
    <w:rsid w:val="0049071E"/>
    <w:rsid w:val="00496C02"/>
    <w:rsid w:val="004A0E3A"/>
    <w:rsid w:val="004B3E66"/>
    <w:rsid w:val="004B3EEC"/>
    <w:rsid w:val="004B5A0A"/>
    <w:rsid w:val="004C21C6"/>
    <w:rsid w:val="004C49F2"/>
    <w:rsid w:val="005014DF"/>
    <w:rsid w:val="005033AF"/>
    <w:rsid w:val="00526613"/>
    <w:rsid w:val="005321DE"/>
    <w:rsid w:val="00537085"/>
    <w:rsid w:val="00584BE3"/>
    <w:rsid w:val="005B7B82"/>
    <w:rsid w:val="005C3F5D"/>
    <w:rsid w:val="005D0C03"/>
    <w:rsid w:val="005D2254"/>
    <w:rsid w:val="005E5776"/>
    <w:rsid w:val="00610C3E"/>
    <w:rsid w:val="00613BBE"/>
    <w:rsid w:val="00615023"/>
    <w:rsid w:val="006243EE"/>
    <w:rsid w:val="00654046"/>
    <w:rsid w:val="00666720"/>
    <w:rsid w:val="006920EF"/>
    <w:rsid w:val="006A4241"/>
    <w:rsid w:val="006A7171"/>
    <w:rsid w:val="006D18AD"/>
    <w:rsid w:val="006D25F8"/>
    <w:rsid w:val="006E5B97"/>
    <w:rsid w:val="00710735"/>
    <w:rsid w:val="00711C01"/>
    <w:rsid w:val="0073639C"/>
    <w:rsid w:val="00761A03"/>
    <w:rsid w:val="00790994"/>
    <w:rsid w:val="007A124F"/>
    <w:rsid w:val="007A4F1C"/>
    <w:rsid w:val="007B2872"/>
    <w:rsid w:val="007C3C95"/>
    <w:rsid w:val="007D332B"/>
    <w:rsid w:val="00812D1F"/>
    <w:rsid w:val="008200BD"/>
    <w:rsid w:val="00847E13"/>
    <w:rsid w:val="00850B1C"/>
    <w:rsid w:val="00880FCB"/>
    <w:rsid w:val="00883A27"/>
    <w:rsid w:val="008A137E"/>
    <w:rsid w:val="008A4942"/>
    <w:rsid w:val="008B5C6E"/>
    <w:rsid w:val="008B7726"/>
    <w:rsid w:val="008C3795"/>
    <w:rsid w:val="008C5716"/>
    <w:rsid w:val="008E0642"/>
    <w:rsid w:val="00933D52"/>
    <w:rsid w:val="00936C75"/>
    <w:rsid w:val="009477A8"/>
    <w:rsid w:val="00954FF3"/>
    <w:rsid w:val="0095581F"/>
    <w:rsid w:val="009A5DD6"/>
    <w:rsid w:val="009F6E62"/>
    <w:rsid w:val="00A24E62"/>
    <w:rsid w:val="00A26C85"/>
    <w:rsid w:val="00A31AE2"/>
    <w:rsid w:val="00A31F5B"/>
    <w:rsid w:val="00A678FA"/>
    <w:rsid w:val="00A70D37"/>
    <w:rsid w:val="00A7590B"/>
    <w:rsid w:val="00A82D78"/>
    <w:rsid w:val="00A9371F"/>
    <w:rsid w:val="00AA5956"/>
    <w:rsid w:val="00AE24DA"/>
    <w:rsid w:val="00AF194F"/>
    <w:rsid w:val="00AF6041"/>
    <w:rsid w:val="00B00E73"/>
    <w:rsid w:val="00B511EA"/>
    <w:rsid w:val="00B53EA6"/>
    <w:rsid w:val="00B56610"/>
    <w:rsid w:val="00B709AD"/>
    <w:rsid w:val="00BC394D"/>
    <w:rsid w:val="00BE0E4A"/>
    <w:rsid w:val="00BE6C6C"/>
    <w:rsid w:val="00C12978"/>
    <w:rsid w:val="00C31BCC"/>
    <w:rsid w:val="00C80310"/>
    <w:rsid w:val="00C93802"/>
    <w:rsid w:val="00CB187E"/>
    <w:rsid w:val="00CB509A"/>
    <w:rsid w:val="00CC3F0E"/>
    <w:rsid w:val="00CC7C51"/>
    <w:rsid w:val="00CE3649"/>
    <w:rsid w:val="00D179EF"/>
    <w:rsid w:val="00D17B9E"/>
    <w:rsid w:val="00D31D50"/>
    <w:rsid w:val="00D31DB7"/>
    <w:rsid w:val="00D40A3D"/>
    <w:rsid w:val="00DE4CA1"/>
    <w:rsid w:val="00DF1AAB"/>
    <w:rsid w:val="00E27BD7"/>
    <w:rsid w:val="00E4466D"/>
    <w:rsid w:val="00E66B84"/>
    <w:rsid w:val="00E8777F"/>
    <w:rsid w:val="00EB206E"/>
    <w:rsid w:val="00EC1B6D"/>
    <w:rsid w:val="00EF4E5E"/>
    <w:rsid w:val="00EF5762"/>
    <w:rsid w:val="00F020AB"/>
    <w:rsid w:val="00F04BD2"/>
    <w:rsid w:val="00F06737"/>
    <w:rsid w:val="00F325F9"/>
    <w:rsid w:val="00F33CD0"/>
    <w:rsid w:val="00F571F4"/>
    <w:rsid w:val="00F9032B"/>
    <w:rsid w:val="00F90885"/>
    <w:rsid w:val="00F90B90"/>
    <w:rsid w:val="00FA2BE9"/>
    <w:rsid w:val="00FA337D"/>
    <w:rsid w:val="00FA35C9"/>
    <w:rsid w:val="00FC7357"/>
    <w:rsid w:val="00FD14C7"/>
    <w:rsid w:val="00FF31AE"/>
    <w:rsid w:val="099407D9"/>
    <w:rsid w:val="0AD10923"/>
    <w:rsid w:val="0EA71F60"/>
    <w:rsid w:val="1CE94AA8"/>
    <w:rsid w:val="26AE5340"/>
    <w:rsid w:val="29756B14"/>
    <w:rsid w:val="4BF929BF"/>
    <w:rsid w:val="59C41014"/>
    <w:rsid w:val="5B4B7C75"/>
    <w:rsid w:val="6BD82C8B"/>
    <w:rsid w:val="71926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ahoma" w:hAnsi="Tahoma"/>
      <w:sz w:val="18"/>
      <w:szCs w:val="18"/>
    </w:rPr>
  </w:style>
  <w:style w:type="character" w:customStyle="1" w:styleId="9">
    <w:name w:val="f161"/>
    <w:basedOn w:val="6"/>
    <w:qFormat/>
    <w:uiPriority w:val="0"/>
    <w:rPr>
      <w:rFonts w:hint="eastAsia" w:ascii="宋体" w:hAnsi="宋体" w:eastAsia="宋体"/>
      <w:sz w:val="24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0ADE4F-6D68-4961-B82A-0AEC364037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166</Characters>
  <Lines>1</Lines>
  <Paragraphs>1</Paragraphs>
  <TotalTime>29</TotalTime>
  <ScaleCrop>false</ScaleCrop>
  <LinksUpToDate>false</LinksUpToDate>
  <CharactersWithSpaces>194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慎玲</dc:creator>
  <cp:lastModifiedBy>shenling</cp:lastModifiedBy>
  <cp:lastPrinted>2017-11-29T02:38:00Z</cp:lastPrinted>
  <dcterms:modified xsi:type="dcterms:W3CDTF">2022-04-11T06:37:21Z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