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44"/>
          <w:szCs w:val="44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5</w:t>
      </w:r>
    </w:p>
    <w:p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省级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劳动教育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一流本科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课程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（教学团队）</w:t>
      </w:r>
    </w:p>
    <w:p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申报书</w:t>
      </w:r>
    </w:p>
    <w:p>
      <w:pPr>
        <w:spacing w:line="24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56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2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申报类型： </w:t>
      </w:r>
    </w:p>
    <w:p>
      <w:pPr>
        <w:spacing w:line="600" w:lineRule="exact"/>
        <w:ind w:right="28"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2022年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专业类代码指《普通高等学校本科专业目录（2020）》中的代码。没有对应学科专业的课程，填写“0000”。</w:t>
      </w: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0" w:firstLine="0" w:firstLineChars="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</w:t>
      </w:r>
      <w:r>
        <w:rPr>
          <w:rFonts w:hint="eastAsia" w:ascii="Times New Roman" w:hAnsi="Times New Roman" w:eastAsia="楷体" w:cs="Times New Roman"/>
          <w:b/>
          <w:sz w:val="24"/>
        </w:rPr>
        <w:t>一</w:t>
      </w:r>
      <w:r>
        <w:rPr>
          <w:rFonts w:ascii="Times New Roman" w:hAnsi="Times New Roman" w:eastAsia="楷体" w:cs="Times New Roman"/>
          <w:b/>
          <w:sz w:val="24"/>
        </w:rPr>
        <w:t>）线下一流课程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</w:rPr>
        <w:t>二</w:t>
      </w:r>
      <w:r>
        <w:rPr>
          <w:rFonts w:ascii="Times New Roman" w:hAnsi="Times New Roman" w:eastAsia="楷体" w:cs="Times New Roman"/>
          <w:b/>
          <w:bCs/>
          <w:sz w:val="24"/>
        </w:rPr>
        <w:t>）线上线下混合式一流课程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</w:rPr>
        <w:t>三</w:t>
      </w:r>
      <w:r>
        <w:rPr>
          <w:rFonts w:ascii="Times New Roman" w:hAnsi="Times New Roman" w:eastAsia="楷体" w:cs="Times New Roman"/>
          <w:b/>
          <w:bCs/>
          <w:sz w:val="24"/>
        </w:rPr>
        <w:t>）社会实践一流课程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</w:t>
      </w:r>
      <w:r>
        <w:rPr>
          <w:rFonts w:hint="eastAsia" w:ascii="Times New Roman" w:hAnsi="Times New Roman" w:eastAsia="黑体" w:cs="Times New Roman"/>
          <w:color w:val="auto"/>
          <w:sz w:val="24"/>
        </w:rPr>
        <w:t>（含马克思主义劳动观教育）</w:t>
      </w:r>
      <w:r>
        <w:rPr>
          <w:rFonts w:ascii="Times New Roman" w:hAnsi="Times New Roman" w:eastAsia="黑体" w:cs="Times New Roman"/>
          <w:color w:val="auto"/>
          <w:sz w:val="24"/>
        </w:rPr>
        <w:t>实施情况（300字以内）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尤其马克思主义劳动观教育元素，及其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</w:t>
      </w:r>
      <w:r>
        <w:rPr>
          <w:rFonts w:ascii="Times New Roman" w:hAnsi="Times New Roman" w:eastAsia="黑体"/>
          <w:color w:val="auto"/>
          <w:sz w:val="24"/>
          <w:szCs w:val="24"/>
        </w:rPr>
        <w:t>程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劳动教育</w:t>
      </w:r>
      <w:r>
        <w:rPr>
          <w:rFonts w:ascii="Times New Roman" w:hAnsi="Times New Roman" w:eastAsia="黑体"/>
          <w:color w:val="auto"/>
          <w:sz w:val="24"/>
          <w:szCs w:val="24"/>
        </w:rPr>
        <w:t>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在劳动教育方面的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3分钟。]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其他材料，不超过2份（选择性提供）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十、学校教指委或学术委员会课程评价意见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十一、学校审查意见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十二、申报学校承诺意见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该课程如果被认定为“省级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劳动教育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一流本</w:t>
            </w:r>
            <w:r>
              <w:rPr>
                <w:rFonts w:ascii="Times New Roman" w:hAnsi="Times New Roman" w:eastAsia="仿宋_GB2312" w:cs="Times New Roman"/>
                <w:sz w:val="24"/>
              </w:rPr>
              <w:t>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1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2022-06-06T09:00:21Z</dcterms:created>
  <dc:creator>Administrator</dc:creator>
  <cp:lastModifiedBy>杜</cp:lastModifiedBy>
  <dcterms:modified xsi:type="dcterms:W3CDTF">2022-06-06T09:00:26Z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