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附件</w:t>
      </w:r>
    </w:p>
    <w:p>
      <w:pPr>
        <w:keepNext w:val="0"/>
        <w:keepLines w:val="0"/>
        <w:widowControl/>
        <w:suppressLineNumbers w:val="0"/>
        <w:ind w:firstLine="1405" w:firstLineChars="500"/>
        <w:jc w:val="left"/>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“人工智能+乡村教育振兴”微专业培养方案</w:t>
      </w:r>
    </w:p>
    <w:p>
      <w:pPr>
        <w:keepNext w:val="0"/>
        <w:keepLines w:val="0"/>
        <w:widowControl/>
        <w:suppressLineNumbers w:val="0"/>
        <w:ind w:firstLine="422" w:firstLineChars="200"/>
        <w:jc w:val="left"/>
        <w:rPr>
          <w:rFonts w:hint="eastAsia" w:ascii="宋体" w:hAnsi="宋体" w:eastAsia="宋体" w:cs="宋体"/>
          <w:b/>
          <w:bCs/>
          <w:color w:val="000000"/>
          <w:kern w:val="0"/>
          <w:sz w:val="28"/>
          <w:szCs w:val="28"/>
          <w:highlight w:val="none"/>
          <w:lang w:val="en-US" w:eastAsia="zh-CN" w:bidi="ar"/>
        </w:rPr>
      </w:pPr>
      <w:r>
        <w:rPr>
          <w:rFonts w:hint="eastAsia"/>
          <w:b/>
          <w:bCs/>
          <w:highlight w:val="none"/>
          <w:lang w:val="en-US" w:eastAsia="zh-CN"/>
        </w:rPr>
        <w:t>一、微专业简介</w:t>
      </w:r>
      <w:r>
        <w:rPr>
          <w:rFonts w:hint="eastAsia" w:ascii="宋体" w:hAnsi="宋体" w:eastAsia="宋体" w:cs="宋体"/>
          <w:b/>
          <w:bCs/>
          <w:color w:val="000000"/>
          <w:kern w:val="0"/>
          <w:sz w:val="28"/>
          <w:szCs w:val="28"/>
          <w:highlight w:val="none"/>
          <w:lang w:val="en-US" w:eastAsia="zh-CN" w:bidi="ar"/>
        </w:rPr>
        <w:t xml:space="preserve"> </w:t>
      </w:r>
    </w:p>
    <w:p>
      <w:pPr>
        <w:spacing w:line="360" w:lineRule="auto"/>
        <w:ind w:firstLine="420" w:firstLineChars="200"/>
        <w:jc w:val="left"/>
        <w:rPr>
          <w:rFonts w:hint="eastAsia"/>
          <w:highlight w:val="none"/>
        </w:rPr>
      </w:pPr>
      <w:r>
        <w:rPr>
          <w:rFonts w:hint="eastAsia"/>
          <w:highlight w:val="none"/>
          <w:lang w:eastAsia="zh-CN"/>
        </w:rPr>
        <w:t>“</w:t>
      </w:r>
      <w:r>
        <w:rPr>
          <w:rFonts w:hint="eastAsia"/>
          <w:highlight w:val="none"/>
          <w:lang w:val="en-US" w:eastAsia="zh-CN"/>
        </w:rPr>
        <w:t>人工智能+乡村教育振兴</w:t>
      </w:r>
      <w:r>
        <w:rPr>
          <w:rFonts w:hint="eastAsia"/>
          <w:highlight w:val="none"/>
          <w:lang w:eastAsia="zh-CN"/>
        </w:rPr>
        <w:t>”</w:t>
      </w:r>
      <w:r>
        <w:rPr>
          <w:rFonts w:hint="eastAsia"/>
          <w:highlight w:val="none"/>
        </w:rPr>
        <w:t>微专业在本科专业目录以外，围绕</w:t>
      </w:r>
      <w:r>
        <w:rPr>
          <w:rFonts w:hint="eastAsia"/>
          <w:highlight w:val="none"/>
          <w:lang w:val="en-US" w:eastAsia="zh-CN"/>
        </w:rPr>
        <w:t>乡村振兴、人工智能、乡村教育等</w:t>
      </w:r>
      <w:r>
        <w:rPr>
          <w:rFonts w:hint="eastAsia"/>
          <w:highlight w:val="none"/>
        </w:rPr>
        <w:t>学术领域，提炼开设一组核心课程，旨在培养具备人工智能素养与跨学科教学能力、扎实专业知识与深厚乡村教育情怀的复合型未来乡村教师。</w:t>
      </w:r>
      <w:r>
        <w:rPr>
          <w:rFonts w:hint="eastAsia"/>
          <w:highlight w:val="none"/>
          <w:lang w:val="en-US" w:eastAsia="zh-CN"/>
        </w:rPr>
        <w:t>学生</w:t>
      </w:r>
      <w:r>
        <w:rPr>
          <w:rFonts w:hint="eastAsia"/>
          <w:highlight w:val="none"/>
        </w:rPr>
        <w:t>完成微专业规定课程学习，成绩合格者，获得微专业证书</w:t>
      </w:r>
      <w:r>
        <w:rPr>
          <w:rFonts w:hint="eastAsia"/>
          <w:highlight w:val="none"/>
          <w:lang w:eastAsia="zh-CN"/>
        </w:rPr>
        <w:t>，</w:t>
      </w:r>
      <w:r>
        <w:rPr>
          <w:rFonts w:hint="eastAsia"/>
          <w:highlight w:val="none"/>
        </w:rPr>
        <w:t>微专业不具有学士学位授予资格。</w:t>
      </w:r>
    </w:p>
    <w:p>
      <w:pPr>
        <w:keepNext w:val="0"/>
        <w:keepLines w:val="0"/>
        <w:widowControl/>
        <w:suppressLineNumbers w:val="0"/>
        <w:ind w:firstLine="422" w:firstLineChars="200"/>
        <w:jc w:val="left"/>
        <w:rPr>
          <w:rFonts w:hint="eastAsia"/>
          <w:b/>
          <w:bCs/>
          <w:highlight w:val="none"/>
          <w:lang w:val="en-US" w:eastAsia="zh-CN"/>
        </w:rPr>
      </w:pPr>
      <w:r>
        <w:rPr>
          <w:rFonts w:hint="eastAsia"/>
          <w:b/>
          <w:bCs/>
          <w:highlight w:val="none"/>
          <w:lang w:val="en-US" w:eastAsia="zh-CN"/>
        </w:rPr>
        <w:t xml:space="preserve">二、培养目标 </w:t>
      </w:r>
    </w:p>
    <w:p>
      <w:pPr>
        <w:spacing w:line="360" w:lineRule="auto"/>
        <w:ind w:firstLine="420" w:firstLineChars="200"/>
        <w:jc w:val="left"/>
        <w:rPr>
          <w:rFonts w:hint="eastAsia"/>
          <w:highlight w:val="none"/>
          <w:lang w:val="en-US" w:eastAsia="zh-CN"/>
        </w:rPr>
      </w:pPr>
      <w:r>
        <w:rPr>
          <w:rFonts w:hint="eastAsia"/>
          <w:highlight w:val="none"/>
          <w:lang w:val="en-US" w:eastAsia="zh-CN"/>
        </w:rPr>
        <w:t>（一）夯实宽厚扎实专业知识基础</w:t>
      </w:r>
      <w:bookmarkStart w:id="0" w:name="_GoBack"/>
      <w:bookmarkEnd w:id="0"/>
    </w:p>
    <w:p>
      <w:pPr>
        <w:spacing w:line="360" w:lineRule="auto"/>
        <w:ind w:firstLine="420" w:firstLineChars="200"/>
        <w:jc w:val="left"/>
        <w:rPr>
          <w:rFonts w:hint="eastAsia"/>
          <w:highlight w:val="none"/>
          <w:lang w:val="en-US" w:eastAsia="zh-CN"/>
        </w:rPr>
      </w:pPr>
      <w:r>
        <w:rPr>
          <w:rFonts w:hint="eastAsia"/>
          <w:highlight w:val="none"/>
          <w:lang w:val="en-US" w:eastAsia="zh-CN"/>
        </w:rPr>
        <w:t>（二）锻造传道授业解惑过硬本领</w:t>
      </w:r>
    </w:p>
    <w:p>
      <w:pPr>
        <w:spacing w:line="360" w:lineRule="auto"/>
        <w:ind w:firstLine="420" w:firstLineChars="200"/>
        <w:jc w:val="left"/>
        <w:rPr>
          <w:rFonts w:hint="eastAsia"/>
          <w:highlight w:val="none"/>
          <w:lang w:val="en-US" w:eastAsia="zh-CN"/>
        </w:rPr>
      </w:pPr>
      <w:r>
        <w:rPr>
          <w:rFonts w:hint="eastAsia"/>
          <w:highlight w:val="none"/>
          <w:lang w:val="en-US" w:eastAsia="zh-CN"/>
        </w:rPr>
        <w:t>（三）提升五育并举全面育人能力</w:t>
      </w:r>
    </w:p>
    <w:p>
      <w:pPr>
        <w:spacing w:line="360" w:lineRule="auto"/>
        <w:ind w:firstLine="420" w:firstLineChars="200"/>
        <w:jc w:val="left"/>
        <w:rPr>
          <w:rFonts w:hint="eastAsia"/>
          <w:highlight w:val="none"/>
          <w:lang w:val="en-US" w:eastAsia="zh-CN"/>
        </w:rPr>
      </w:pPr>
      <w:r>
        <w:rPr>
          <w:rFonts w:hint="eastAsia"/>
          <w:highlight w:val="none"/>
          <w:lang w:val="en-US" w:eastAsia="zh-CN"/>
        </w:rPr>
        <w:t>（四）厚植扎根基层教育报国情怀</w:t>
      </w:r>
    </w:p>
    <w:p>
      <w:pPr>
        <w:keepNext w:val="0"/>
        <w:keepLines w:val="0"/>
        <w:widowControl/>
        <w:suppressLineNumbers w:val="0"/>
        <w:ind w:firstLine="422" w:firstLineChars="200"/>
        <w:jc w:val="left"/>
        <w:rPr>
          <w:rFonts w:hint="eastAsia"/>
          <w:b/>
          <w:bCs/>
          <w:highlight w:val="none"/>
          <w:lang w:val="en-US" w:eastAsia="zh-CN"/>
        </w:rPr>
      </w:pPr>
      <w:r>
        <w:rPr>
          <w:rFonts w:hint="eastAsia"/>
          <w:b/>
          <w:bCs/>
          <w:highlight w:val="none"/>
          <w:lang w:val="en-US" w:eastAsia="zh-CN"/>
        </w:rPr>
        <w:t xml:space="preserve">三、微专业证书发放 </w:t>
      </w:r>
    </w:p>
    <w:p>
      <w:pPr>
        <w:spacing w:line="360" w:lineRule="auto"/>
        <w:ind w:firstLine="420" w:firstLineChars="200"/>
        <w:jc w:val="left"/>
        <w:rPr>
          <w:rFonts w:hint="eastAsia"/>
          <w:highlight w:val="none"/>
        </w:rPr>
      </w:pPr>
      <w:r>
        <w:rPr>
          <w:rFonts w:hint="eastAsia"/>
          <w:highlight w:val="none"/>
          <w:lang w:eastAsia="zh-CN"/>
        </w:rPr>
        <w:t>在规定时间内修完所有课程并合格后，经审核后将获得丽水学院</w:t>
      </w:r>
      <w:r>
        <w:rPr>
          <w:rFonts w:hint="eastAsia"/>
          <w:highlight w:val="none"/>
          <w:lang w:val="en-US" w:eastAsia="zh-CN"/>
        </w:rPr>
        <w:t>统一发放的</w:t>
      </w:r>
      <w:r>
        <w:rPr>
          <w:rFonts w:hint="eastAsia"/>
          <w:highlight w:val="none"/>
          <w:lang w:eastAsia="zh-CN"/>
        </w:rPr>
        <w:t>微专业证书。获得微专业证书的学生，向所在学院提出申请，经学院审核后，报教务处审定，将根</w:t>
      </w:r>
      <w:r>
        <w:rPr>
          <w:rFonts w:hint="eastAsia"/>
          <w:highlight w:val="none"/>
          <w:lang w:eastAsia="zh-CN"/>
        </w:rPr>
        <w:t>据相关规定予以学分认定。</w:t>
      </w:r>
    </w:p>
    <w:p>
      <w:pPr>
        <w:spacing w:line="360" w:lineRule="auto"/>
        <w:ind w:firstLine="422" w:firstLineChars="200"/>
        <w:rPr>
          <w:rFonts w:hint="eastAsia"/>
          <w:highlight w:val="none"/>
          <w:lang w:val="en-US" w:eastAsia="zh-CN"/>
        </w:rPr>
      </w:pPr>
      <w:r>
        <w:rPr>
          <w:rFonts w:hint="eastAsia"/>
          <w:b/>
          <w:bCs/>
          <w:highlight w:val="none"/>
          <w:lang w:val="en-US" w:eastAsia="zh-CN"/>
        </w:rPr>
        <w:t>四、修读时限：</w:t>
      </w:r>
    </w:p>
    <w:p>
      <w:pPr>
        <w:spacing w:line="360" w:lineRule="auto"/>
        <w:ind w:firstLine="420" w:firstLineChars="200"/>
        <w:rPr>
          <w:rFonts w:hint="default" w:eastAsiaTheme="minorEastAsia"/>
          <w:highlight w:val="none"/>
          <w:lang w:val="en-US" w:eastAsia="zh-CN"/>
        </w:rPr>
      </w:pPr>
      <w:r>
        <w:rPr>
          <w:rFonts w:hint="eastAsia"/>
          <w:highlight w:val="none"/>
          <w:lang w:val="en-US" w:eastAsia="zh-CN"/>
        </w:rPr>
        <w:t>1年（两学期）</w:t>
      </w:r>
    </w:p>
    <w:p>
      <w:pPr>
        <w:keepNext w:val="0"/>
        <w:keepLines w:val="0"/>
        <w:widowControl/>
        <w:suppressLineNumbers w:val="0"/>
        <w:ind w:firstLine="422" w:firstLineChars="200"/>
        <w:jc w:val="left"/>
        <w:rPr>
          <w:rFonts w:hint="eastAsia"/>
          <w:b/>
          <w:bCs/>
          <w:highlight w:val="none"/>
          <w:lang w:val="en-US" w:eastAsia="zh-CN"/>
        </w:rPr>
      </w:pPr>
      <w:r>
        <w:rPr>
          <w:rFonts w:hint="eastAsia"/>
          <w:b/>
          <w:bCs/>
          <w:highlight w:val="none"/>
          <w:lang w:val="en-US" w:eastAsia="zh-CN"/>
        </w:rPr>
        <w:t>五、课程安排</w:t>
      </w:r>
    </w:p>
    <w:p>
      <w:pPr>
        <w:widowControl/>
        <w:spacing w:line="360" w:lineRule="auto"/>
        <w:jc w:val="left"/>
        <w:rPr>
          <w:rFonts w:hint="eastAsia" w:ascii="宋体" w:hAnsi="宋体" w:eastAsia="宋体" w:cs="宋体"/>
          <w:sz w:val="21"/>
          <w:szCs w:val="21"/>
          <w:highlight w:val="no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1552"/>
        <w:gridCol w:w="1111"/>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tcPr>
          <w:p>
            <w:pPr>
              <w:widowControl/>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课程名称</w:t>
            </w:r>
          </w:p>
        </w:tc>
        <w:tc>
          <w:tcPr>
            <w:tcW w:w="1552" w:type="dxa"/>
          </w:tcPr>
          <w:p>
            <w:pPr>
              <w:widowControl/>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课程性质</w:t>
            </w:r>
          </w:p>
        </w:tc>
        <w:tc>
          <w:tcPr>
            <w:tcW w:w="1111" w:type="dxa"/>
          </w:tcPr>
          <w:p>
            <w:pPr>
              <w:widowControl/>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学时</w:t>
            </w:r>
          </w:p>
        </w:tc>
        <w:tc>
          <w:tcPr>
            <w:tcW w:w="1705" w:type="dxa"/>
          </w:tcPr>
          <w:p>
            <w:pPr>
              <w:widowControl/>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学分</w:t>
            </w:r>
          </w:p>
        </w:tc>
        <w:tc>
          <w:tcPr>
            <w:tcW w:w="1705" w:type="dxa"/>
          </w:tcPr>
          <w:p>
            <w:pPr>
              <w:widowControl/>
              <w:spacing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pPr>
              <w:widowControl/>
              <w:spacing w:line="36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rPr>
              <w:t>人工智能与未来教育</w:t>
            </w:r>
          </w:p>
        </w:tc>
        <w:tc>
          <w:tcPr>
            <w:tcW w:w="1552" w:type="dxa"/>
          </w:tcPr>
          <w:p>
            <w:pPr>
              <w:widowControl/>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必修课程</w:t>
            </w:r>
          </w:p>
        </w:tc>
        <w:tc>
          <w:tcPr>
            <w:tcW w:w="1111" w:type="dxa"/>
          </w:tcPr>
          <w:p>
            <w:pPr>
              <w:spacing w:line="40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48</w:t>
            </w:r>
          </w:p>
        </w:tc>
        <w:tc>
          <w:tcPr>
            <w:tcW w:w="1705" w:type="dxa"/>
            <w:vAlign w:val="center"/>
          </w:tcPr>
          <w:p>
            <w:pPr>
              <w:spacing w:line="400" w:lineRule="exact"/>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highlight w:val="none"/>
                <w:lang w:val="en-US" w:eastAsia="zh-CN"/>
              </w:rPr>
              <w:t>3</w:t>
            </w:r>
          </w:p>
        </w:tc>
        <w:tc>
          <w:tcPr>
            <w:tcW w:w="1705" w:type="dxa"/>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pPr>
              <w:widowControl/>
              <w:spacing w:line="36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rPr>
              <w:t>两山教育</w:t>
            </w:r>
          </w:p>
        </w:tc>
        <w:tc>
          <w:tcPr>
            <w:tcW w:w="1552" w:type="dxa"/>
          </w:tcPr>
          <w:p>
            <w:pPr>
              <w:widowControl/>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必修课程</w:t>
            </w:r>
          </w:p>
        </w:tc>
        <w:tc>
          <w:tcPr>
            <w:tcW w:w="1111" w:type="dxa"/>
          </w:tcPr>
          <w:p>
            <w:pPr>
              <w:spacing w:line="40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32</w:t>
            </w:r>
          </w:p>
        </w:tc>
        <w:tc>
          <w:tcPr>
            <w:tcW w:w="1705" w:type="dxa"/>
            <w:vAlign w:val="center"/>
          </w:tcPr>
          <w:p>
            <w:pPr>
              <w:spacing w:line="400" w:lineRule="exact"/>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highlight w:val="none"/>
                <w:lang w:val="en-US" w:eastAsia="zh-CN"/>
              </w:rPr>
              <w:t>2</w:t>
            </w:r>
          </w:p>
        </w:tc>
        <w:tc>
          <w:tcPr>
            <w:tcW w:w="1705" w:type="dxa"/>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pPr>
              <w:widowControl/>
              <w:spacing w:line="36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rPr>
              <w:t>教育技术与深度学习</w:t>
            </w:r>
          </w:p>
        </w:tc>
        <w:tc>
          <w:tcPr>
            <w:tcW w:w="1552" w:type="dxa"/>
          </w:tcPr>
          <w:p>
            <w:pPr>
              <w:widowControl/>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必修课程</w:t>
            </w:r>
          </w:p>
        </w:tc>
        <w:tc>
          <w:tcPr>
            <w:tcW w:w="1111" w:type="dxa"/>
          </w:tcPr>
          <w:p>
            <w:pPr>
              <w:spacing w:line="40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1705" w:type="dxa"/>
            <w:vAlign w:val="center"/>
          </w:tcPr>
          <w:p>
            <w:pPr>
              <w:spacing w:line="400" w:lineRule="exact"/>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highlight w:val="none"/>
                <w:lang w:val="en-US" w:eastAsia="zh-CN"/>
              </w:rPr>
              <w:t>1</w:t>
            </w:r>
          </w:p>
        </w:tc>
        <w:tc>
          <w:tcPr>
            <w:tcW w:w="1705" w:type="dxa"/>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pPr>
              <w:widowControl/>
              <w:spacing w:line="36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rPr>
              <w:t>乡村</w:t>
            </w:r>
            <w:r>
              <w:rPr>
                <w:rFonts w:hint="eastAsia" w:ascii="宋体" w:hAnsi="宋体" w:eastAsia="宋体" w:cs="宋体"/>
                <w:sz w:val="21"/>
                <w:szCs w:val="21"/>
                <w:highlight w:val="none"/>
                <w:lang w:val="en-US" w:eastAsia="zh-CN"/>
              </w:rPr>
              <w:t>教育</w:t>
            </w:r>
            <w:r>
              <w:rPr>
                <w:rFonts w:hint="eastAsia" w:ascii="宋体" w:hAnsi="宋体" w:eastAsia="宋体" w:cs="宋体"/>
                <w:sz w:val="21"/>
                <w:szCs w:val="21"/>
                <w:highlight w:val="none"/>
              </w:rPr>
              <w:t>与乡村振兴</w:t>
            </w:r>
          </w:p>
        </w:tc>
        <w:tc>
          <w:tcPr>
            <w:tcW w:w="1552" w:type="dxa"/>
          </w:tcPr>
          <w:p>
            <w:pPr>
              <w:widowControl/>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必修课程</w:t>
            </w:r>
          </w:p>
        </w:tc>
        <w:tc>
          <w:tcPr>
            <w:tcW w:w="1111" w:type="dxa"/>
          </w:tcPr>
          <w:p>
            <w:pPr>
              <w:spacing w:line="40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32</w:t>
            </w:r>
          </w:p>
        </w:tc>
        <w:tc>
          <w:tcPr>
            <w:tcW w:w="1705" w:type="dxa"/>
            <w:vAlign w:val="center"/>
          </w:tcPr>
          <w:p>
            <w:pPr>
              <w:spacing w:line="400" w:lineRule="exact"/>
              <w:jc w:val="center"/>
              <w:rPr>
                <w:rFonts w:hint="eastAsia" w:ascii="宋体" w:hAnsi="宋体" w:eastAsia="宋体" w:cs="宋体"/>
                <w:b/>
                <w:bCs/>
                <w:sz w:val="24"/>
                <w:szCs w:val="24"/>
                <w:highlight w:val="none"/>
                <w:vertAlign w:val="baseline"/>
                <w:lang w:val="en-US" w:eastAsia="zh-CN"/>
              </w:rPr>
            </w:pPr>
            <w:r>
              <w:rPr>
                <w:rFonts w:ascii="宋体" w:hAnsi="宋体" w:eastAsia="宋体" w:cs="宋体"/>
                <w:sz w:val="24"/>
                <w:highlight w:val="none"/>
              </w:rPr>
              <w:t>2</w:t>
            </w:r>
          </w:p>
        </w:tc>
        <w:tc>
          <w:tcPr>
            <w:tcW w:w="1705" w:type="dxa"/>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pPr>
              <w:widowControl/>
              <w:spacing w:line="36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rPr>
              <w:t>陶行知与乡村教育</w:t>
            </w:r>
          </w:p>
        </w:tc>
        <w:tc>
          <w:tcPr>
            <w:tcW w:w="1552" w:type="dxa"/>
          </w:tcPr>
          <w:p>
            <w:pPr>
              <w:widowControl/>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必修课程</w:t>
            </w:r>
          </w:p>
        </w:tc>
        <w:tc>
          <w:tcPr>
            <w:tcW w:w="1111" w:type="dxa"/>
          </w:tcPr>
          <w:p>
            <w:pPr>
              <w:spacing w:line="40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1705" w:type="dxa"/>
            <w:vAlign w:val="center"/>
          </w:tcPr>
          <w:p>
            <w:pPr>
              <w:spacing w:line="400" w:lineRule="exact"/>
              <w:jc w:val="center"/>
              <w:rPr>
                <w:rFonts w:hint="eastAsia" w:ascii="宋体" w:hAnsi="宋体" w:eastAsia="宋体" w:cs="宋体"/>
                <w:b/>
                <w:bCs/>
                <w:sz w:val="24"/>
                <w:szCs w:val="24"/>
                <w:highlight w:val="none"/>
                <w:vertAlign w:val="baseline"/>
                <w:lang w:val="en-US" w:eastAsia="zh-CN"/>
              </w:rPr>
            </w:pPr>
            <w:r>
              <w:rPr>
                <w:rFonts w:ascii="宋体" w:hAnsi="宋体" w:eastAsia="宋体" w:cs="宋体"/>
                <w:sz w:val="24"/>
                <w:highlight w:val="none"/>
              </w:rPr>
              <w:t>1</w:t>
            </w:r>
          </w:p>
        </w:tc>
        <w:tc>
          <w:tcPr>
            <w:tcW w:w="1705" w:type="dxa"/>
          </w:tcPr>
          <w:p>
            <w:pPr>
              <w:spacing w:line="4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r>
    </w:tbl>
    <w:p>
      <w:pPr>
        <w:keepNext w:val="0"/>
        <w:keepLines w:val="0"/>
        <w:widowControl/>
        <w:suppressLineNumbers w:val="0"/>
        <w:ind w:firstLine="482" w:firstLineChars="200"/>
        <w:jc w:val="left"/>
        <w:rPr>
          <w:rFonts w:hint="eastAsia" w:ascii="宋体" w:hAnsi="宋体" w:eastAsia="宋体" w:cs="宋体"/>
          <w:b/>
          <w:bCs/>
          <w:sz w:val="24"/>
          <w:szCs w:val="24"/>
          <w:highlight w:val="none"/>
          <w:lang w:val="en-US" w:eastAsia="zh-CN"/>
        </w:rPr>
      </w:pPr>
    </w:p>
    <w:p>
      <w:pPr>
        <w:spacing w:line="360" w:lineRule="auto"/>
        <w:ind w:firstLine="422" w:firstLineChars="200"/>
        <w:rPr>
          <w:rFonts w:hint="eastAsia"/>
          <w:highlight w:val="none"/>
          <w:lang w:val="en-US" w:eastAsia="zh-CN"/>
        </w:rPr>
      </w:pPr>
      <w:r>
        <w:rPr>
          <w:rFonts w:hint="eastAsia"/>
          <w:b/>
          <w:bCs/>
          <w:highlight w:val="none"/>
          <w:lang w:val="en-US" w:eastAsia="zh-CN"/>
        </w:rPr>
        <w:t>六、课程简介：</w:t>
      </w:r>
    </w:p>
    <w:p>
      <w:pPr>
        <w:widowControl/>
        <w:spacing w:line="400" w:lineRule="exact"/>
        <w:ind w:firstLine="422" w:firstLineChars="200"/>
        <w:textAlignment w:val="baseline"/>
        <w:rPr>
          <w:rFonts w:hint="eastAsia"/>
          <w:highlight w:val="none"/>
          <w:lang w:val="en-US" w:eastAsia="zh-CN"/>
        </w:rPr>
      </w:pPr>
      <w:r>
        <w:rPr>
          <w:rFonts w:hint="eastAsia"/>
          <w:b/>
          <w:bCs/>
          <w:highlight w:val="none"/>
          <w:lang w:val="en-US" w:eastAsia="zh-CN"/>
        </w:rPr>
        <w:t>人工智能与未来教育：</w:t>
      </w:r>
      <w:r>
        <w:rPr>
          <w:rFonts w:hint="eastAsia"/>
          <w:highlight w:val="none"/>
          <w:lang w:val="en-US" w:eastAsia="zh-CN"/>
        </w:rPr>
        <w:t>人工智能自诞生以来，其理论和技术日益成熟，应用领域也不断扩大，正逐渐悄无声息的渗透到人类的衣、食、住、行等领域，悄悄改变着我们的生活，同样它也正深度影响着我们的教育领域。人工智能赋能教育，导致教育正在发生一场翻天覆地的变化。那么，它将对未来教育产什么样的影响？未来的学校、教师、学生将发生怎样的变化？教学工具、教学方式与学习方式又将进行怎样的重组和融合？让我们走进《人工智能与未来教育》，共同探讨人工智能时代的教育新形态。</w:t>
      </w:r>
    </w:p>
    <w:p>
      <w:pPr>
        <w:spacing w:line="360" w:lineRule="auto"/>
        <w:ind w:firstLine="422" w:firstLineChars="200"/>
        <w:jc w:val="left"/>
        <w:rPr>
          <w:rFonts w:hint="eastAsia"/>
          <w:highlight w:val="none"/>
          <w:lang w:val="en-US" w:eastAsia="zh-CN"/>
        </w:rPr>
      </w:pPr>
      <w:r>
        <w:rPr>
          <w:rFonts w:hint="eastAsia"/>
          <w:b/>
          <w:bCs/>
          <w:highlight w:val="none"/>
          <w:lang w:val="en-US" w:eastAsia="zh-CN"/>
        </w:rPr>
        <w:t>两山教育：</w:t>
      </w:r>
      <w:r>
        <w:rPr>
          <w:rFonts w:hint="eastAsia"/>
          <w:highlight w:val="none"/>
          <w:lang w:val="en-US" w:eastAsia="zh-CN"/>
        </w:rPr>
        <w:t>本课程基于生态绿色发展观念，从注重大学生基础理论能力的培养转向对大学生综合素养的培养。通过该门课程的学习培养学生“两山”理念，厚植“扎根山区、服务高质量绿色发展”的两山情怀。</w:t>
      </w:r>
    </w:p>
    <w:p>
      <w:pPr>
        <w:spacing w:line="360" w:lineRule="auto"/>
        <w:ind w:firstLine="422" w:firstLineChars="200"/>
        <w:jc w:val="left"/>
        <w:rPr>
          <w:rFonts w:hint="eastAsia"/>
          <w:highlight w:val="none"/>
          <w:lang w:val="en-US" w:eastAsia="zh-CN"/>
        </w:rPr>
      </w:pPr>
      <w:r>
        <w:rPr>
          <w:rFonts w:hint="eastAsia"/>
          <w:b/>
          <w:bCs/>
          <w:highlight w:val="none"/>
          <w:lang w:val="en-US" w:eastAsia="zh-CN"/>
        </w:rPr>
        <w:t>教育技术理论与实践：</w:t>
      </w:r>
      <w:r>
        <w:rPr>
          <w:rFonts w:hint="eastAsia"/>
          <w:highlight w:val="none"/>
          <w:lang w:val="en-US" w:eastAsia="zh-CN"/>
        </w:rPr>
        <w:t>本课程面向师范生，根据《师范生信息化教学能力标准》对学生的要求，让学习者了解现代教育技术的基本概念以及相关的基本理论与最新的研究成果，对现代教育技术现状有一个清晰的认识，能够结合自己的专业，真正的将现代教育技术应用在自己学科教学中。</w:t>
      </w:r>
    </w:p>
    <w:p>
      <w:pPr>
        <w:spacing w:line="360" w:lineRule="auto"/>
        <w:ind w:firstLine="422" w:firstLineChars="200"/>
        <w:jc w:val="left"/>
        <w:rPr>
          <w:rFonts w:hint="eastAsia"/>
          <w:highlight w:val="none"/>
          <w:lang w:val="en-US" w:eastAsia="zh-CN"/>
        </w:rPr>
      </w:pPr>
      <w:r>
        <w:rPr>
          <w:rFonts w:hint="eastAsia"/>
          <w:b/>
          <w:bCs/>
          <w:highlight w:val="none"/>
          <w:lang w:val="en-US" w:eastAsia="zh-CN"/>
        </w:rPr>
        <w:t>乡村教育与乡村振兴：</w:t>
      </w:r>
      <w:r>
        <w:rPr>
          <w:rFonts w:hint="eastAsia"/>
          <w:highlight w:val="none"/>
          <w:lang w:val="en-US" w:eastAsia="zh-CN"/>
        </w:rPr>
        <w:t>乡村振兴是国家战略，乡村振兴，教育先行。教育先行，教师为本。在乡村振兴中，乡村教育既承担着传播知识、塑造文明的功能，也肩负提供智力支撑、人才保障的作用。《乡村教育与乡村振兴》课程基于乡村振兴战略背景，紧密围绕乡村教育历史、乡村教育理论、乡村学校、乡村教师、乡村学生、乡土文化等专题，探讨如何以振兴乡村教育赋能乡村振兴。通过课程学习帮助师范生了解乡土中国与乡村教育，掌握乡村教育理论与方法，同时也有助于培养学生的乡土教育情怀。</w:t>
      </w:r>
    </w:p>
    <w:p>
      <w:pPr>
        <w:spacing w:line="360" w:lineRule="auto"/>
        <w:ind w:firstLine="422" w:firstLineChars="200"/>
        <w:jc w:val="left"/>
        <w:rPr>
          <w:rFonts w:hint="eastAsia"/>
          <w:highlight w:val="none"/>
          <w:lang w:val="en-US" w:eastAsia="zh-CN"/>
        </w:rPr>
      </w:pPr>
      <w:r>
        <w:rPr>
          <w:rFonts w:hint="eastAsia"/>
          <w:b/>
          <w:bCs/>
          <w:highlight w:val="none"/>
          <w:lang w:val="en-US" w:eastAsia="zh-CN"/>
        </w:rPr>
        <w:t>陶行知与乡村教育：</w:t>
      </w:r>
      <w:r>
        <w:rPr>
          <w:rFonts w:hint="eastAsia"/>
          <w:highlight w:val="none"/>
          <w:lang w:val="en-US" w:eastAsia="zh-CN"/>
        </w:rPr>
        <w:t>是一门山区特色模块课程。课程围绕“行知精神”的时代新义、陶行知教育思想对我国当代教育教学改革尤其是乡村教育改革的指导意义两条主线展开教学，用“行知精神”感染学生，用“生活教育理论”影响学生，激发学习兴趣、培养热爱山区乡村教育事业的情感、形成服务山区乡村教育的愿望和能力。本课程的学习不仅有助于帮助学生树立正确的教育观、强化职业精神和乡村从教情怀、拓宽教育理论知识、提高乡村从教能力，对于学校行知办学特色的形成也将发挥积极的作用。</w:t>
      </w:r>
    </w:p>
    <w:p>
      <w:pPr>
        <w:spacing w:line="360" w:lineRule="auto"/>
        <w:ind w:firstLine="420" w:firstLineChars="200"/>
        <w:jc w:val="left"/>
        <w:rPr>
          <w:rFonts w:hint="eastAsia"/>
          <w:highlight w:val="none"/>
          <w:lang w:val="en-US" w:eastAsia="zh-CN"/>
        </w:rPr>
      </w:pPr>
    </w:p>
    <w:p>
      <w:pPr>
        <w:spacing w:line="360" w:lineRule="auto"/>
        <w:ind w:firstLine="420" w:firstLineChars="200"/>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zBjM2M0YTIxNDYyNzBmZmVmN2IyODA0YTBmODcifQ=="/>
  </w:docVars>
  <w:rsids>
    <w:rsidRoot w:val="2B990EB1"/>
    <w:rsid w:val="03501BA0"/>
    <w:rsid w:val="08B85305"/>
    <w:rsid w:val="0C2C18B6"/>
    <w:rsid w:val="0DE02469"/>
    <w:rsid w:val="1965110F"/>
    <w:rsid w:val="238353A7"/>
    <w:rsid w:val="2B990EB1"/>
    <w:rsid w:val="2F793857"/>
    <w:rsid w:val="34DE1056"/>
    <w:rsid w:val="355F46D1"/>
    <w:rsid w:val="364C2352"/>
    <w:rsid w:val="365F64B9"/>
    <w:rsid w:val="38281D6D"/>
    <w:rsid w:val="40417B0A"/>
    <w:rsid w:val="50804DBF"/>
    <w:rsid w:val="51166299"/>
    <w:rsid w:val="51A9534B"/>
    <w:rsid w:val="60E063A2"/>
    <w:rsid w:val="76A57149"/>
    <w:rsid w:val="7B321FA1"/>
    <w:rsid w:val="7E77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2023-10-29T12:12:00Z</dcterms:created>
  <dc:creator>冬</dc:creator>
  <cp:lastModifiedBy>shenling</cp:lastModifiedBy>
  <cp:lastPrinted>2023-10-31T03:04:00Z</cp:lastPrinted>
  <dcterms:modified xsi:type="dcterms:W3CDTF">2023-10-31T08:01:36Z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BD9D987C0A374123AC469E34AE6C8F3E_11</vt:lpwstr>
  </property>
</Properties>
</file>