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margin" w:tblpXSpec="center" w:tblpY="-6025"/>
        <w:tblW w:w="9889" w:type="dxa"/>
        <w:tblInd w:w="0" w:type="dxa"/>
        <w:tblLayout w:type="fixed"/>
        <w:tblCellMar>
          <w:top w:w="15" w:type="dxa"/>
          <w:left w:w="108" w:type="dxa"/>
          <w:bottom w:w="15" w:type="dxa"/>
          <w:right w:w="108" w:type="dxa"/>
        </w:tblCellMar>
      </w:tblPr>
      <w:tblGrid>
        <w:gridCol w:w="1412"/>
        <w:gridCol w:w="681"/>
        <w:gridCol w:w="1417"/>
        <w:gridCol w:w="3635"/>
        <w:gridCol w:w="2080"/>
        <w:gridCol w:w="664"/>
      </w:tblGrid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720" w:hRule="atLeast"/>
        </w:trPr>
        <w:tc>
          <w:tcPr>
            <w:tcW w:w="9225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宋体" w:hAnsi="宋体" w:cs="宋体"/>
                <w:b w:val="0"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0"/>
                <w:sz w:val="30"/>
                <w:szCs w:val="30"/>
              </w:rPr>
              <w:t>附件2</w:t>
            </w:r>
          </w:p>
          <w:p>
            <w:pPr>
              <w:widowControl/>
              <w:shd w:val="clear" w:color="auto" w:fill="FFFFFF"/>
              <w:spacing w:line="360" w:lineRule="auto"/>
              <w:jc w:val="center"/>
              <w:rPr>
                <w:rFonts w:ascii="等线" w:hAnsi="等线" w:eastAsia="等线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等线" w:eastAsia="黑体" w:cs="宋体"/>
                <w:kern w:val="0"/>
                <w:sz w:val="30"/>
                <w:szCs w:val="30"/>
              </w:rPr>
              <w:t>丽水学院</w:t>
            </w:r>
            <w:r>
              <w:rPr>
                <w:rFonts w:hint="eastAsia" w:ascii="黑体" w:hAnsi="等线" w:eastAsia="黑体" w:cs="宋体"/>
                <w:kern w:val="0"/>
                <w:sz w:val="30"/>
                <w:szCs w:val="30"/>
                <w:lang w:eastAsia="zh-CN"/>
              </w:rPr>
              <w:t>校本通识核心</w:t>
            </w:r>
            <w:r>
              <w:rPr>
                <w:rFonts w:hint="eastAsia" w:ascii="黑体" w:hAnsi="等线" w:eastAsia="黑体" w:cs="宋体"/>
                <w:kern w:val="0"/>
                <w:sz w:val="30"/>
                <w:szCs w:val="30"/>
              </w:rPr>
              <w:t>课程评价指标</w:t>
            </w: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widowControl/>
              <w:jc w:val="center"/>
              <w:rPr>
                <w:rFonts w:ascii="等线" w:hAnsi="等线" w:eastAsia="等线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94" w:hRule="atLeast"/>
        </w:trPr>
        <w:tc>
          <w:tcPr>
            <w:tcW w:w="9889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0000" w:themeColor="text1"/>
                <w:kern w:val="0"/>
                <w:szCs w:val="21"/>
                <w:highlight w:val="none"/>
              </w:rPr>
              <w:t xml:space="preserve"> 课程名称：              </w:t>
            </w:r>
            <w:r>
              <w:rPr>
                <w:rFonts w:hint="eastAsia" w:ascii="宋体" w:hAnsi="宋体" w:cs="宋体"/>
                <w:b/>
                <w:color w:val="000000" w:themeColor="text1"/>
                <w:kern w:val="0"/>
                <w:szCs w:val="21"/>
                <w:highlight w:val="none"/>
                <w:lang w:val="en-US" w:eastAsia="zh-CN"/>
              </w:rPr>
              <w:t xml:space="preserve">                </w:t>
            </w:r>
            <w:r>
              <w:rPr>
                <w:rFonts w:hint="eastAsia" w:ascii="宋体" w:hAnsi="宋体" w:cs="宋体"/>
                <w:b/>
                <w:color w:val="000000" w:themeColor="text1"/>
                <w:kern w:val="0"/>
                <w:szCs w:val="21"/>
                <w:highlight w:val="none"/>
              </w:rPr>
              <w:t xml:space="preserve">课程负责人：  </w:t>
            </w:r>
            <w:r>
              <w:rPr>
                <w:rFonts w:hint="eastAsia" w:ascii="宋体" w:hAnsi="宋体" w:cs="宋体"/>
                <w:b/>
                <w:kern w:val="0"/>
                <w:szCs w:val="21"/>
                <w:highlight w:val="none"/>
              </w:rPr>
              <w:t xml:space="preserve"> 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95" w:hRule="atLeast"/>
        </w:trPr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评价项目(总分100分)</w:t>
            </w:r>
          </w:p>
        </w:tc>
        <w:tc>
          <w:tcPr>
            <w:tcW w:w="78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评价内涵及要求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652" w:hRule="atLeast"/>
        </w:trPr>
        <w:tc>
          <w:tcPr>
            <w:tcW w:w="14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课程团队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（5分）</w:t>
            </w:r>
          </w:p>
        </w:tc>
        <w:tc>
          <w:tcPr>
            <w:tcW w:w="78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课程建设负责人应为高校正式聘用，具有丰富的教学经验和较高的学术造诣的教师，课程组成员均在教学一线长期承担本课程教学任务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；</w:t>
            </w:r>
          </w:p>
        </w:tc>
        <w:tc>
          <w:tcPr>
            <w:tcW w:w="66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738" w:hRule="atLeast"/>
        </w:trPr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8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</w:rPr>
              <w:t>主讲教师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eastAsia="zh-CN"/>
              </w:rPr>
              <w:t>具有良好的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</w:rPr>
              <w:t>师德、教学能力强，教学表现力强，课程团队结构合理。</w:t>
            </w:r>
            <w:r>
              <w:rPr>
                <w:rFonts w:hint="eastAsia" w:ascii="宋体" w:hAnsi="宋体" w:cs="宋体"/>
                <w:kern w:val="0"/>
                <w:szCs w:val="21"/>
              </w:rPr>
              <w:t>除主讲教师外，还需配备必要助理教师和现代教育技术人员，能长期在线服务课程建设，承担课程内容更新、在线辅导、答疑等。</w:t>
            </w:r>
          </w:p>
        </w:tc>
        <w:tc>
          <w:tcPr>
            <w:tcW w:w="66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02" w:hRule="atLeast"/>
        </w:trPr>
        <w:tc>
          <w:tcPr>
            <w:tcW w:w="14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课程标准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（5分）</w:t>
            </w:r>
          </w:p>
        </w:tc>
        <w:tc>
          <w:tcPr>
            <w:tcW w:w="78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</w:rPr>
              <w:t>程目标定位清晰、准确，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Cs w:val="21"/>
                <w:highlight w:val="none"/>
              </w:rPr>
              <w:t>符合学校办学定位和人才培养目标，坚持立德树人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Cs w:val="21"/>
                <w:highlight w:val="none"/>
              </w:rPr>
              <w:t>将思想政治教育内化为课程内容，弘扬社会主义核心价值观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</w:rPr>
              <w:t>；课程内容先进、新颖，反映学科专业先进的核心理论和成果，体现教改教研成果，具有较高的科学性水平，注重运用知识解决实际问题。</w:t>
            </w:r>
          </w:p>
        </w:tc>
        <w:tc>
          <w:tcPr>
            <w:tcW w:w="66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622" w:hRule="atLeast"/>
        </w:trPr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8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课程标准完整规范，课程设计思路清晰，结构体系完整，学时数与专业人才培养方案相符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；</w:t>
            </w:r>
          </w:p>
        </w:tc>
        <w:tc>
          <w:tcPr>
            <w:tcW w:w="66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7" w:hRule="atLeast"/>
        </w:trPr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8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课程内容设计科学合理，对教学能起指导作用，有过程性评价设计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66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28" w:hRule="atLeast"/>
        </w:trPr>
        <w:tc>
          <w:tcPr>
            <w:tcW w:w="14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教学内容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（5分）</w:t>
            </w:r>
          </w:p>
        </w:tc>
        <w:tc>
          <w:tcPr>
            <w:tcW w:w="78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教学内容新颖，信息量大，具有学术性、前沿性；内容安排合理，符合课程教学目标</w:t>
            </w:r>
            <w:r>
              <w:rPr>
                <w:rFonts w:hint="eastAsia" w:ascii="宋体" w:hAnsi="宋体" w:cs="宋体"/>
                <w:kern w:val="0"/>
                <w:sz w:val="22"/>
                <w:lang w:eastAsia="zh-CN"/>
              </w:rPr>
              <w:t>；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</w:rPr>
              <w:t>课程无危害国家安全、涉密及其他不适宜网络公开传播的内容，无侵犯他人知识产权内容。</w:t>
            </w:r>
            <w:r>
              <w:rPr>
                <w:rFonts w:hint="eastAsia" w:ascii="宋体" w:hAnsi="宋体" w:cs="宋体"/>
                <w:kern w:val="0"/>
                <w:sz w:val="22"/>
              </w:rPr>
              <w:t>　 </w:t>
            </w:r>
          </w:p>
        </w:tc>
        <w:tc>
          <w:tcPr>
            <w:tcW w:w="66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600" w:hRule="atLeast"/>
        </w:trPr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8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实践性课程能加强理论与实践相结合，实验课程内容的设计能培养学生的实践能力和创新能力</w:t>
            </w:r>
            <w:r>
              <w:rPr>
                <w:rFonts w:hint="eastAsia" w:ascii="宋体" w:hAnsi="宋体" w:cs="宋体"/>
                <w:kern w:val="0"/>
                <w:sz w:val="22"/>
                <w:lang w:eastAsia="zh-CN"/>
              </w:rPr>
              <w:t>；</w:t>
            </w:r>
            <w:r>
              <w:rPr>
                <w:rFonts w:hint="eastAsia" w:ascii="宋体" w:hAnsi="宋体" w:cs="宋体"/>
                <w:kern w:val="0"/>
                <w:sz w:val="22"/>
              </w:rPr>
              <w:t>实践教学内容能够认真落实，实验开出率≥</w:t>
            </w:r>
            <w:r>
              <w:rPr>
                <w:rFonts w:ascii="宋体" w:hAnsi="宋体" w:cs="宋体"/>
                <w:kern w:val="0"/>
                <w:sz w:val="22"/>
              </w:rPr>
              <w:t>95%</w:t>
            </w:r>
            <w:r>
              <w:rPr>
                <w:rFonts w:hint="eastAsia" w:ascii="宋体" w:hAnsi="宋体" w:cs="宋体"/>
                <w:kern w:val="0"/>
                <w:sz w:val="22"/>
                <w:lang w:eastAsia="zh-CN"/>
              </w:rPr>
              <w:t>。</w:t>
            </w:r>
          </w:p>
        </w:tc>
        <w:tc>
          <w:tcPr>
            <w:tcW w:w="66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710" w:hRule="atLeast"/>
        </w:trPr>
        <w:tc>
          <w:tcPr>
            <w:tcW w:w="14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10" w:firstLineChars="10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教学条件</w:t>
            </w:r>
          </w:p>
          <w:p>
            <w:pPr>
              <w:widowControl/>
              <w:ind w:firstLine="210" w:firstLineChars="10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（25分）</w:t>
            </w:r>
          </w:p>
        </w:tc>
        <w:tc>
          <w:tcPr>
            <w:tcW w:w="78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课程网站运行良好，线上教学资源、参考材料丰富，辅教、辅学功能齐全，并能有效共享。（3分）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900" w:hRule="atLeast"/>
        </w:trPr>
        <w:tc>
          <w:tcPr>
            <w:tcW w:w="14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8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教材内容新颖，选用国家</w:t>
            </w:r>
            <w:r>
              <w:rPr>
                <w:rFonts w:hint="eastAsia" w:ascii="宋体" w:hAnsi="宋体" w:cs="宋体"/>
                <w:kern w:val="0"/>
                <w:sz w:val="22"/>
                <w:lang w:eastAsia="zh-CN"/>
              </w:rPr>
              <w:t>规定的教材，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eastAsia="zh-CN"/>
              </w:rPr>
              <w:t>选用国家规定的教材，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</w:rPr>
              <w:t>优先使用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</w:rPr>
              <w:t>国家和省级规划教材、精品教材及获得省部级以上奖励的优秀教材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eastAsia="zh-CN"/>
              </w:rPr>
              <w:t>，如无上述教材，则应当优先选用同类高校公认共选的、近三年新出版的通用教材，或国家级出版社出版的教材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</w:rPr>
              <w:t>。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22"/>
              </w:rPr>
              <w:t>（2分） 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275" w:hRule="atLeast"/>
        </w:trPr>
        <w:tc>
          <w:tcPr>
            <w:tcW w:w="14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5" w:firstLineChars="5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网</w:t>
            </w:r>
          </w:p>
          <w:p>
            <w:pPr>
              <w:ind w:firstLine="105" w:firstLineChars="5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络</w:t>
            </w:r>
          </w:p>
          <w:p>
            <w:pPr>
              <w:ind w:firstLine="105" w:firstLineChars="5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课</w:t>
            </w:r>
          </w:p>
          <w:p>
            <w:pPr>
              <w:ind w:firstLine="105" w:firstLineChars="5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程</w:t>
            </w:r>
          </w:p>
          <w:p>
            <w:pPr>
              <w:ind w:firstLine="105" w:firstLineChars="5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资</w:t>
            </w:r>
          </w:p>
          <w:p>
            <w:pPr>
              <w:ind w:firstLine="105" w:firstLineChars="50"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源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基本资源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（3分）</w:t>
            </w:r>
          </w:p>
        </w:tc>
        <w:tc>
          <w:tcPr>
            <w:tcW w:w="5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将课程介绍、课程团队信息、课程标准、教学设计与方法、教材、参考教材及参考资料等教学资源简介、教案或课件、课程考核评价方法上传至网络教学平台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655" w:hRule="atLeast"/>
        </w:trPr>
        <w:tc>
          <w:tcPr>
            <w:tcW w:w="14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8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拓展性教学资源（5分）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案例库、专题讲座库、素材资源库，学科专业知识检索系统、演示/虚拟/仿真实验实训（实习）系统、试题库系统、作业系统、网络课程内容或相关链接等；</w:t>
            </w: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至少上传3项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exact"/>
              <w:ind w:firstLine="210" w:firstLineChars="100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30" w:hRule="atLeast"/>
        </w:trPr>
        <w:tc>
          <w:tcPr>
            <w:tcW w:w="14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8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授课视频</w:t>
            </w:r>
          </w:p>
          <w:p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（12分）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2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总数量（个）</w:t>
            </w:r>
          </w:p>
        </w:tc>
        <w:tc>
          <w:tcPr>
            <w:tcW w:w="2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每学时至少拍摄一个5-15分钟的视频录像，且视频质量较高。</w:t>
            </w:r>
          </w:p>
        </w:tc>
        <w:tc>
          <w:tcPr>
            <w:tcW w:w="66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36" w:hRule="atLeast"/>
        </w:trPr>
        <w:tc>
          <w:tcPr>
            <w:tcW w:w="14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ind w:firstLine="220" w:firstLineChars="100"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总时长（分钟）</w:t>
            </w:r>
          </w:p>
        </w:tc>
        <w:tc>
          <w:tcPr>
            <w:tcW w:w="2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6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816" w:hRule="atLeast"/>
        </w:trPr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在线课程教学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（25分）</w:t>
            </w:r>
          </w:p>
        </w:tc>
        <w:tc>
          <w:tcPr>
            <w:tcW w:w="78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定期发放课程公告；师生互动积极踊跃，质量较高；有一定的作业量，且学生作业完成率高，教师批改及时；有章节测试或考试，完成率高。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52" w:hRule="atLeast"/>
        </w:trPr>
        <w:tc>
          <w:tcPr>
            <w:tcW w:w="14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教学方法及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手段（10分）</w:t>
            </w:r>
          </w:p>
        </w:tc>
        <w:tc>
          <w:tcPr>
            <w:tcW w:w="78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="Times New Roman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要遵循有效教学的基本规律，结合在线开放课程教学的特征与需求进行整体的教学设计</w:t>
            </w:r>
          </w:p>
        </w:tc>
        <w:tc>
          <w:tcPr>
            <w:tcW w:w="66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82" w:hRule="atLeast"/>
        </w:trPr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8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="Times New Roman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课程设计、教学安排和呈现方式符合学习者移动学习和混合式教学的需求</w:t>
            </w:r>
          </w:p>
        </w:tc>
        <w:tc>
          <w:tcPr>
            <w:tcW w:w="66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690" w:hRule="atLeast"/>
        </w:trPr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8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="Times New Roman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开展在线学习与课堂教学相结合、翻转课堂等多种方式的课堂教学模式，优先支持具有混合式学习等改革实践经验的课程。</w:t>
            </w:r>
          </w:p>
        </w:tc>
        <w:tc>
          <w:tcPr>
            <w:tcW w:w="66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839" w:hRule="atLeast"/>
        </w:trPr>
        <w:tc>
          <w:tcPr>
            <w:tcW w:w="1412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课程考核评价(5分)</w:t>
            </w:r>
          </w:p>
        </w:tc>
        <w:tc>
          <w:tcPr>
            <w:tcW w:w="78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能够建立多元化学习评价体系，采用线上和线下融合、过程性评价与终结性评价相结合的多元化考核评价模式，课程成绩由过程性考核和终结性考核综合评定，体现混合式教学的特点 </w:t>
            </w:r>
          </w:p>
        </w:tc>
        <w:tc>
          <w:tcPr>
            <w:tcW w:w="66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8" w:hRule="atLeast"/>
        </w:trPr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8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考核过程规范，考核环节符合精品在线课程性质</w:t>
            </w:r>
          </w:p>
        </w:tc>
        <w:tc>
          <w:tcPr>
            <w:tcW w:w="66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2" w:hRule="atLeast"/>
        </w:trPr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课程特色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(5分)</w:t>
            </w:r>
          </w:p>
        </w:tc>
        <w:tc>
          <w:tcPr>
            <w:tcW w:w="78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课程在教学条件、教学方法、评价手段、教学成果等方面具有较鲜明的特色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2" w:hRule="atLeast"/>
        </w:trPr>
        <w:tc>
          <w:tcPr>
            <w:tcW w:w="1412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教学效果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（15分）</w:t>
            </w:r>
          </w:p>
        </w:tc>
        <w:tc>
          <w:tcPr>
            <w:tcW w:w="78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全程在线或线上、线下混合式、“翻转课堂”等教学模式改革效果良好，专家听课评价分数90分以上</w:t>
            </w:r>
          </w:p>
        </w:tc>
        <w:tc>
          <w:tcPr>
            <w:tcW w:w="66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614" w:hRule="atLeast"/>
        </w:trPr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8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网络课程评价分值一般在4.5以上</w:t>
            </w:r>
          </w:p>
        </w:tc>
        <w:tc>
          <w:tcPr>
            <w:tcW w:w="66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49" w:hRule="atLeast"/>
        </w:trPr>
        <w:tc>
          <w:tcPr>
            <w:tcW w:w="92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5040" w:firstLineChars="240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总分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/>
    <w:sectPr>
      <w:pgSz w:w="11906" w:h="16838"/>
      <w:pgMar w:top="1440" w:right="1531" w:bottom="1440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58A8"/>
    <w:rsid w:val="00022CB1"/>
    <w:rsid w:val="00034FDD"/>
    <w:rsid w:val="000408A0"/>
    <w:rsid w:val="0005274C"/>
    <w:rsid w:val="00075997"/>
    <w:rsid w:val="0009485C"/>
    <w:rsid w:val="000E0734"/>
    <w:rsid w:val="001454FE"/>
    <w:rsid w:val="00213E6F"/>
    <w:rsid w:val="002262F7"/>
    <w:rsid w:val="00242284"/>
    <w:rsid w:val="00297DB4"/>
    <w:rsid w:val="0033040A"/>
    <w:rsid w:val="003340E8"/>
    <w:rsid w:val="00434119"/>
    <w:rsid w:val="00484739"/>
    <w:rsid w:val="004E2CB8"/>
    <w:rsid w:val="00524453"/>
    <w:rsid w:val="00543603"/>
    <w:rsid w:val="00556D53"/>
    <w:rsid w:val="0059622A"/>
    <w:rsid w:val="005D15FC"/>
    <w:rsid w:val="006308E2"/>
    <w:rsid w:val="00631B5B"/>
    <w:rsid w:val="0067798A"/>
    <w:rsid w:val="006A4AE5"/>
    <w:rsid w:val="006D2173"/>
    <w:rsid w:val="006E08F6"/>
    <w:rsid w:val="00764E71"/>
    <w:rsid w:val="007A5966"/>
    <w:rsid w:val="0087074E"/>
    <w:rsid w:val="00872F06"/>
    <w:rsid w:val="008B1555"/>
    <w:rsid w:val="00904417"/>
    <w:rsid w:val="00987346"/>
    <w:rsid w:val="009A6F60"/>
    <w:rsid w:val="00A53E2E"/>
    <w:rsid w:val="00A55128"/>
    <w:rsid w:val="00AB58A8"/>
    <w:rsid w:val="00AD70F6"/>
    <w:rsid w:val="00AF36AB"/>
    <w:rsid w:val="00AF4284"/>
    <w:rsid w:val="00B06EF1"/>
    <w:rsid w:val="00B36528"/>
    <w:rsid w:val="00B82014"/>
    <w:rsid w:val="00BA37C7"/>
    <w:rsid w:val="00BF5141"/>
    <w:rsid w:val="00C25052"/>
    <w:rsid w:val="00CB5840"/>
    <w:rsid w:val="00CE4754"/>
    <w:rsid w:val="00D02EE1"/>
    <w:rsid w:val="00D52609"/>
    <w:rsid w:val="00DA4403"/>
    <w:rsid w:val="00DB4DB0"/>
    <w:rsid w:val="00E969DB"/>
    <w:rsid w:val="00EA0925"/>
    <w:rsid w:val="00EC0BA5"/>
    <w:rsid w:val="00F01394"/>
    <w:rsid w:val="02324053"/>
    <w:rsid w:val="05465D33"/>
    <w:rsid w:val="15EC5FC8"/>
    <w:rsid w:val="1D08669B"/>
    <w:rsid w:val="20626A68"/>
    <w:rsid w:val="2EB5725F"/>
    <w:rsid w:val="42460284"/>
    <w:rsid w:val="52147115"/>
    <w:rsid w:val="5A1D0846"/>
    <w:rsid w:val="639C5B3D"/>
    <w:rsid w:val="6B966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322</Words>
  <Characters>1836</Characters>
  <Lines>15</Lines>
  <Paragraphs>4</Paragraphs>
  <TotalTime>0</TotalTime>
  <ScaleCrop>false</ScaleCrop>
  <LinksUpToDate>false</LinksUpToDate>
  <CharactersWithSpaces>2154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2017-03-09T10:02:00Z</dcterms:created>
  <dc:creator>杨运杰</dc:creator>
  <cp:lastModifiedBy>Administrator</cp:lastModifiedBy>
  <dcterms:modified xsi:type="dcterms:W3CDTF">2021-10-27T06:21:48Z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