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XSpec="center" w:tblpY="-6025"/>
        <w:tblW w:w="9889" w:type="dxa"/>
        <w:tblInd w:w="0" w:type="dxa"/>
        <w:tblLayout w:type="fixed"/>
        <w:tblCellMar>
          <w:top w:w="15" w:type="dxa"/>
          <w:left w:w="108" w:type="dxa"/>
          <w:bottom w:w="15" w:type="dxa"/>
          <w:right w:w="108" w:type="dxa"/>
        </w:tblCellMar>
      </w:tblPr>
      <w:tblGrid>
        <w:gridCol w:w="1503"/>
        <w:gridCol w:w="590"/>
        <w:gridCol w:w="1417"/>
        <w:gridCol w:w="3635"/>
        <w:gridCol w:w="2080"/>
        <w:gridCol w:w="664"/>
      </w:tblGrid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20" w:hRule="atLeast"/>
        </w:trPr>
        <w:tc>
          <w:tcPr>
            <w:tcW w:w="9225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kern w:val="0"/>
                <w:sz w:val="30"/>
                <w:szCs w:val="30"/>
              </w:rPr>
              <w:t>附件2</w:t>
            </w:r>
          </w:p>
          <w:p>
            <w:pPr>
              <w:widowControl/>
              <w:shd w:val="clear" w:color="auto" w:fill="FFFFFF"/>
              <w:spacing w:line="360" w:lineRule="auto"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丽水学院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  <w:lang w:eastAsia="zh-CN"/>
              </w:rPr>
              <w:t>校本通识核心</w:t>
            </w:r>
            <w:r>
              <w:rPr>
                <w:rFonts w:hint="eastAsia" w:ascii="黑体" w:hAnsi="等线" w:eastAsia="黑体" w:cs="宋体"/>
                <w:kern w:val="0"/>
                <w:sz w:val="30"/>
                <w:szCs w:val="30"/>
              </w:rPr>
              <w:t>课程评价指标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4" w:hRule="atLeast"/>
        </w:trPr>
        <w:tc>
          <w:tcPr>
            <w:tcW w:w="9889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</w:rPr>
              <w:t xml:space="preserve"> 课程名称：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  <w:lang w:val="en-US" w:eastAsia="zh-CN"/>
              </w:rPr>
              <w:t xml:space="preserve">                </w:t>
            </w: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Cs w:val="21"/>
                <w:highlight w:val="none"/>
              </w:rPr>
              <w:t xml:space="preserve">课程负责人：  </w:t>
            </w:r>
            <w:r>
              <w:rPr>
                <w:rFonts w:hint="eastAsia" w:ascii="宋体" w:hAnsi="宋体" w:cs="宋体"/>
                <w:b/>
                <w:kern w:val="0"/>
                <w:szCs w:val="21"/>
                <w:highlight w:val="none"/>
              </w:rPr>
              <w:t xml:space="preserve"> 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95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评价项目(总分100分)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评价内涵及要求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kern w:val="0"/>
                <w:szCs w:val="21"/>
              </w:rPr>
              <w:t>得分</w:t>
            </w: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1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课程团队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课程建设负责人应为高校正式聘用，具有丰富的教学经验和较高的学术造诣的教师，课程组成员均在教学一线长期承担本课程教学任务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79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除主讲教师外，还需配备必要助理教师和现代教育技术人员，能长期在线服务课程建设，承担课程内容更新、在线辅导、答疑等。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0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课程目标定位清晰、准确，符合专业人才培养目标要求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2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课程标准完整规范，课程设计思路清晰，结构体系完整，学时数与专业人才培养方案相符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；</w:t>
            </w:r>
            <w:bookmarkStart w:id="0" w:name="_GoBack"/>
            <w:bookmarkEnd w:id="0"/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77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课程内容设计科学合理，对教学能起指导作用，有过程性评价设计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28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教学内容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教学内容新颖，信息量大，具有学术性、前沿性；内容安排合理，符合课程教学目标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22"/>
              </w:rPr>
              <w:t>　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0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实践性课程能加强理论与实践相结合，实验课程内容的设计能培养学生的实践能力和创新能力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；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06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实践教学内容能够认真落实，实验开出率≥</w:t>
            </w:r>
            <w:r>
              <w:rPr>
                <w:rFonts w:ascii="宋体" w:hAnsi="宋体" w:cs="宋体"/>
                <w:kern w:val="0"/>
                <w:sz w:val="22"/>
              </w:rPr>
              <w:t>95%</w:t>
            </w:r>
            <w:r>
              <w:rPr>
                <w:rFonts w:hint="eastAsia" w:ascii="宋体" w:hAnsi="宋体" w:cs="宋体"/>
                <w:kern w:val="0"/>
                <w:sz w:val="22"/>
                <w:lang w:eastAsia="zh-CN"/>
              </w:rPr>
              <w:t>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45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教学条件</w:t>
            </w:r>
          </w:p>
          <w:p>
            <w:pPr>
              <w:widowControl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课程网站运行良好，线上教学资源、参考材料丰富，辅教、辅学功能齐全，并能有效共享。（3分）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1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教材内容新颖，选用国家规划教材或学科领域权威教材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>或</w:t>
            </w:r>
            <w:r>
              <w:rPr>
                <w:rFonts w:hint="eastAsia" w:ascii="宋体" w:hAnsi="宋体" w:cs="宋体"/>
                <w:kern w:val="0"/>
                <w:sz w:val="22"/>
              </w:rPr>
              <w:t>优秀自编教材。</w:t>
            </w:r>
            <w:r>
              <w:rPr>
                <w:rFonts w:hint="eastAsia" w:ascii="宋体" w:hAnsi="宋体" w:cs="宋体"/>
                <w:kern w:val="0"/>
                <w:sz w:val="22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2"/>
              </w:rPr>
              <w:t>（2分） 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95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络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程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资</w:t>
            </w:r>
          </w:p>
          <w:p>
            <w:pPr>
              <w:ind w:firstLine="105" w:firstLineChars="5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源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基本资源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（3分）</w:t>
            </w:r>
          </w:p>
        </w:tc>
        <w:tc>
          <w:tcPr>
            <w:tcW w:w="5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将课程介绍、课程团队信息、课程标准、教学设计与方法、教材、参考教材及参考资料等教学资源简介、教案或课件、课程考核评价方法上传至网络教学平台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1655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拓展性教学资源（5分）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案例库、专题讲座库、素材资源库，学科专业知识检索系统、演示/虚拟/仿真实验实训（实习）系统、试题库系统、作业系统、网络课程内容或相关链接等；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至少上传3项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ind w:firstLine="210" w:firstLineChars="100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30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授课视频</w:t>
            </w:r>
          </w:p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（12分）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总数量（个）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每学时至少拍摄一个5-15分钟的视频录像，且视频质量较高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Cs w:val="21"/>
              </w:rPr>
              <w:t>上传至少5讲的教学视频。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36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5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220" w:firstLineChars="100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总时长（分钟）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1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在线课程教学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（25分）</w:t>
            </w:r>
          </w:p>
        </w:tc>
        <w:tc>
          <w:tcPr>
            <w:tcW w:w="20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课程公告（3分）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数量（次）</w:t>
            </w:r>
          </w:p>
        </w:tc>
        <w:tc>
          <w:tcPr>
            <w:tcW w:w="2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平均每学时1次以上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在线作业（7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总次数（次）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每8学时不少于1次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习题总数（道）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50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互动交流情况   （8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发帖总数（帖）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师生互动积极踊跃，质量较高，生均发帖量不少于2贴。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49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12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440" w:leftChars="105" w:hanging="220" w:hangingChars="100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在线测试和考试 （7</w:t>
            </w:r>
            <w:r>
              <w:rPr>
                <w:rFonts w:hint="eastAsia" w:ascii="宋体" w:hAnsi="宋体" w:cs="宋体"/>
                <w:kern w:val="0"/>
                <w:szCs w:val="21"/>
              </w:rPr>
              <w:t>分</w:t>
            </w:r>
            <w:r>
              <w:rPr>
                <w:rFonts w:hint="eastAsia" w:ascii="宋体" w:hAnsi="宋体" w:cs="宋体"/>
                <w:kern w:val="0"/>
                <w:sz w:val="22"/>
              </w:rPr>
              <w:t>）</w:t>
            </w: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次数（次）</w:t>
            </w:r>
          </w:p>
        </w:tc>
        <w:tc>
          <w:tcPr>
            <w:tcW w:w="20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不少于1次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试题总数（题）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" w:hRule="atLeast"/>
        </w:trPr>
        <w:tc>
          <w:tcPr>
            <w:tcW w:w="15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007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3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参与人数（人）</w:t>
            </w:r>
          </w:p>
        </w:tc>
        <w:tc>
          <w:tcPr>
            <w:tcW w:w="2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exact"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5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教学方法及</w:t>
            </w:r>
          </w:p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手段（10分）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要遵循有效教学的基本规律，结合在线开放课程教学的特征与需求进行整体的教学设计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382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课程设计、教学安排和呈现方式符合学习者移动学习和混合式教学的需求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90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开展在线学习与课堂教学相结合、翻转课堂等多种方式的课堂教学模式，优先支持具有混合式学习等改革实践经验的课程。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839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课程考核评价(5分)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能够建立多元化学习评价体系，采用线上和线下融合、过程性评价与终结性评价相结合的多元化考核评价模式，课程成绩由过程性考核和终结性考核综合评定，体现混合式教学的特点 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8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考核过程规范，考核环节符合精品在线课程性质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课程特色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(5分)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课程在教学条件、教学方法、评价手段、教学成果等方面具有较鲜明的特色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422" w:hRule="atLeast"/>
        </w:trPr>
        <w:tc>
          <w:tcPr>
            <w:tcW w:w="1503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教学效果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（15分）</w:t>
            </w: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全程在线或线上、线下混合式、“翻转课堂”等教学模式改革效果良好，专家听课评价分数90分以上</w:t>
            </w:r>
          </w:p>
        </w:tc>
        <w:tc>
          <w:tcPr>
            <w:tcW w:w="6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614" w:hRule="atLeast"/>
        </w:trPr>
        <w:tc>
          <w:tcPr>
            <w:tcW w:w="1503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网络课程评价分值一般在4.5以上</w:t>
            </w:r>
          </w:p>
        </w:tc>
        <w:tc>
          <w:tcPr>
            <w:tcW w:w="6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08" w:type="dxa"/>
            <w:bottom w:w="15" w:type="dxa"/>
            <w:right w:w="108" w:type="dxa"/>
          </w:tblCellMar>
        </w:tblPrEx>
        <w:trPr>
          <w:trHeight w:val="549" w:hRule="atLeast"/>
        </w:trPr>
        <w:tc>
          <w:tcPr>
            <w:tcW w:w="92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5040" w:firstLineChars="2400"/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Cs w:val="21"/>
              </w:rPr>
              <w:t>总分</w:t>
            </w:r>
          </w:p>
        </w:tc>
        <w:tc>
          <w:tcPr>
            <w:tcW w:w="6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8A8"/>
    <w:rsid w:val="00022CB1"/>
    <w:rsid w:val="00034FDD"/>
    <w:rsid w:val="000408A0"/>
    <w:rsid w:val="0005274C"/>
    <w:rsid w:val="00075997"/>
    <w:rsid w:val="0009485C"/>
    <w:rsid w:val="000E0734"/>
    <w:rsid w:val="001454FE"/>
    <w:rsid w:val="00213E6F"/>
    <w:rsid w:val="002262F7"/>
    <w:rsid w:val="00242284"/>
    <w:rsid w:val="00297DB4"/>
    <w:rsid w:val="0033040A"/>
    <w:rsid w:val="003340E8"/>
    <w:rsid w:val="00434119"/>
    <w:rsid w:val="00484739"/>
    <w:rsid w:val="004E2CB8"/>
    <w:rsid w:val="00524453"/>
    <w:rsid w:val="00543603"/>
    <w:rsid w:val="00556D53"/>
    <w:rsid w:val="0059622A"/>
    <w:rsid w:val="005D15FC"/>
    <w:rsid w:val="006308E2"/>
    <w:rsid w:val="00631B5B"/>
    <w:rsid w:val="0067798A"/>
    <w:rsid w:val="006A4AE5"/>
    <w:rsid w:val="006D2173"/>
    <w:rsid w:val="006E08F6"/>
    <w:rsid w:val="00764E71"/>
    <w:rsid w:val="007A5966"/>
    <w:rsid w:val="0087074E"/>
    <w:rsid w:val="00872F06"/>
    <w:rsid w:val="008B1555"/>
    <w:rsid w:val="00904417"/>
    <w:rsid w:val="00987346"/>
    <w:rsid w:val="009A6F60"/>
    <w:rsid w:val="00A53E2E"/>
    <w:rsid w:val="00A55128"/>
    <w:rsid w:val="00AB58A8"/>
    <w:rsid w:val="00AD70F6"/>
    <w:rsid w:val="00AF36AB"/>
    <w:rsid w:val="00AF4284"/>
    <w:rsid w:val="00B06EF1"/>
    <w:rsid w:val="00B36528"/>
    <w:rsid w:val="00B82014"/>
    <w:rsid w:val="00BA37C7"/>
    <w:rsid w:val="00BF5141"/>
    <w:rsid w:val="00C25052"/>
    <w:rsid w:val="00CB5840"/>
    <w:rsid w:val="00CE4754"/>
    <w:rsid w:val="00D02EE1"/>
    <w:rsid w:val="00D52609"/>
    <w:rsid w:val="00DA4403"/>
    <w:rsid w:val="00DB4DB0"/>
    <w:rsid w:val="00E969DB"/>
    <w:rsid w:val="00EA0925"/>
    <w:rsid w:val="00EC0BA5"/>
    <w:rsid w:val="00F01394"/>
    <w:rsid w:val="02324053"/>
    <w:rsid w:val="20626A68"/>
    <w:rsid w:val="42460284"/>
    <w:rsid w:val="52147115"/>
    <w:rsid w:val="5A1D0846"/>
    <w:rsid w:val="639C5B3D"/>
    <w:rsid w:val="6B96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4</Pages>
  <Words>322</Words>
  <Characters>1836</Characters>
  <Lines>15</Lines>
  <Paragraphs>4</Paragraphs>
  <TotalTime>2</TotalTime>
  <ScaleCrop>false</ScaleCrop>
  <LinksUpToDate>false</LinksUpToDate>
  <CharactersWithSpaces>2154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2017-03-09T10:02:00Z</dcterms:created>
  <dc:creator>杨运杰</dc:creator>
  <cp:lastModifiedBy>pc</cp:lastModifiedBy>
  <dcterms:modified xsi:type="dcterms:W3CDTF">2020-11-05T03:22:26Z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