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margin" w:tblpXSpec="center" w:tblpY="-6025"/>
        <w:tblW w:w="9889" w:type="dxa"/>
        <w:tblInd w:w="0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503"/>
        <w:gridCol w:w="590"/>
        <w:gridCol w:w="1417"/>
        <w:gridCol w:w="3635"/>
        <w:gridCol w:w="2080"/>
        <w:gridCol w:w="664"/>
      </w:tblGrid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20" w:hRule="atLeast"/>
        </w:trPr>
        <w:tc>
          <w:tcPr>
            <w:tcW w:w="9225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ind w:firstLine="2250" w:firstLineChars="750"/>
              <w:rPr>
                <w:rFonts w:ascii="等线" w:hAnsi="等线" w:eastAsia="等线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等线" w:eastAsia="黑体" w:cs="宋体"/>
                <w:kern w:val="0"/>
                <w:sz w:val="30"/>
                <w:szCs w:val="30"/>
              </w:rPr>
              <w:t>丽水学院精品在线开放课程评价指标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4" w:hRule="atLeast"/>
        </w:trPr>
        <w:tc>
          <w:tcPr>
            <w:tcW w:w="9889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 xml:space="preserve">二级学院：          专业：           课程名称：              课程负责人：   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5" w:hRule="atLeas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评价项目(总分100分)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评价内涵及要求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12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课程团队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课程建设负责人应为高校正式聘用，具有丰富的教学经验和较高的学术造诣的教师，课程组成员均在教学一线长期承担本课程教学任务。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98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除主讲教师外，还需配备必要助理教师和现代教育技术人员，能长期在线服务课程建设，承担课程内容更新、在线辅导、答疑等。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02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课程标准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课程目标定位清晰、准确，符合专业人才培养目标要求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22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课程标准完整规范，课程设计思路清晰，结构体系完整，学时数与专业人才培养方案相符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77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课程内容设计科学合理，对教学能起指导作用，有过程性评价设计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28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教学内容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教学内容新颖，信息量大，具有学术性、前沿性；内容安排合理，符合课程教学目标　 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00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实践性课程能加强理论与实践相结合，实验课程内容的设计能培养学生的实践能力和创新能力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6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实践教学内容能够认真落实，实验开出率≥</w:t>
            </w:r>
            <w:r>
              <w:rPr>
                <w:rFonts w:ascii="宋体" w:hAnsi="宋体" w:cs="宋体"/>
                <w:kern w:val="0"/>
                <w:sz w:val="22"/>
              </w:rPr>
              <w:t>95%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45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教学条件</w:t>
            </w:r>
          </w:p>
          <w:p>
            <w:pPr>
              <w:widowControl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课程网站运行良好，线上教学资源、参考材料丰富，辅教、辅学功能齐全，并能有效共享。（3分）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10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教材内容新颖，选用国家规划教材或学科领域权威教材、优秀自编教材。（2分） 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58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网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络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程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源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基本资源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（3分）</w:t>
            </w:r>
          </w:p>
        </w:tc>
        <w:tc>
          <w:tcPr>
            <w:tcW w:w="5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将课程介绍、课程团队信息、课程标准、教学设计与方法、教材、参考教材及参考资料等教学资源简介、教案或课件、课程考核评价方法上传至网络教学平台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950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拓展性教学资源（5分）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案例库、专题讲座库、素材资源库，学科专业知识检索系统、演示/虚拟/仿真实验实训（实习）系统、试题库系统、作业系统、网络课程内容或相关链接等；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至少上传3项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30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授课视频</w:t>
            </w: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（12分）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总数量（个）</w:t>
            </w:r>
          </w:p>
        </w:tc>
        <w:tc>
          <w:tcPr>
            <w:tcW w:w="2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每学时至少拍摄一个5-15分钟的视频录像，且视频质量较高</w:t>
            </w:r>
            <w:r>
              <w:rPr>
                <w:rFonts w:ascii="宋体" w:hAnsi="宋体" w:cs="宋体"/>
                <w:kern w:val="0"/>
                <w:sz w:val="22"/>
              </w:rPr>
              <w:t xml:space="preserve"> 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36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220" w:firstLineChars="100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总时长（分钟）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1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在线课程教学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（25分）</w:t>
            </w:r>
          </w:p>
        </w:tc>
        <w:tc>
          <w:tcPr>
            <w:tcW w:w="2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课程公告（3分）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数量（次）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平均每学时1次以上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5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在线作业（7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</w:rPr>
              <w:t>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总次数（次）</w:t>
            </w:r>
          </w:p>
        </w:tc>
        <w:tc>
          <w:tcPr>
            <w:tcW w:w="2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每8学时不少于1次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习题总数（道）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0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参与人数（人）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互动交流情况   （8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</w:rPr>
              <w:t>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发帖总数（帖）</w:t>
            </w:r>
          </w:p>
        </w:tc>
        <w:tc>
          <w:tcPr>
            <w:tcW w:w="2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师生互动积极踊跃，质量较高，生均发帖量不少于2贴。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教师发帖数（帖）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49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参与互动人数（人）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2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left="440" w:leftChars="105" w:hanging="220" w:hangingChars="100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在线测试和考试 （7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</w:rPr>
              <w:t>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次数（次）</w:t>
            </w:r>
          </w:p>
        </w:tc>
        <w:tc>
          <w:tcPr>
            <w:tcW w:w="2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每16学时不少于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1次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试题总数（题）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参与人数（人）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52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教学方法及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手段（10分）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要遵循有效教学的基本规律，结合在线开放课程教学的特征与需求进行整体的教学设计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2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课程设计、教学安排和呈现方式符合学习者移动学习和混合式教学的需求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90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开展在线学习与课堂教学相结合、翻转课堂等多种方式的课堂教学模式，优先支持具有混合式学习等改革实践经验的课程。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39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课程考核评价(5分)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能够建立多元化学习评价体系，采用线上和线下融合、过程性评价与终结性评价相结合的多元化考核评价模式，课程成绩由过程性考核和终结性考核综合评定，体现混合式教学的特点 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8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考核过程规范，考核环节符合精品在线课程性质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2" w:hRule="atLeas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课程特色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(5分)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课程在教学条件、教学方法、评价手段、教学成果等方面具有较鲜明的特色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2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教学效果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全程在线或线上、线下混合式、“翻转课堂”等教学模式改革效果良好，专家听课评价分数90分以上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14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网络课程评价分值一般在4.5以上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54" w:hRule="atLeast"/>
        </w:trPr>
        <w:tc>
          <w:tcPr>
            <w:tcW w:w="92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5040" w:firstLineChars="24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总分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否决性指标：</w:t>
      </w:r>
      <w:r>
        <w:rPr>
          <w:rFonts w:hint="eastAsia" w:ascii="宋体" w:hAnsi="宋体" w:cs="宋体"/>
          <w:kern w:val="0"/>
          <w:szCs w:val="21"/>
        </w:rPr>
        <w:t>授课视频评价分数低于10分或在线课程教</w:t>
      </w:r>
      <w:bookmarkStart w:id="0" w:name="_GoBack"/>
      <w:bookmarkEnd w:id="0"/>
      <w:r>
        <w:rPr>
          <w:rFonts w:hint="eastAsia" w:ascii="宋体" w:hAnsi="宋体" w:cs="宋体"/>
          <w:kern w:val="0"/>
          <w:szCs w:val="21"/>
        </w:rPr>
        <w:t>学评价分数低于20分。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A65"/>
    <w:rsid w:val="000549F0"/>
    <w:rsid w:val="00153D02"/>
    <w:rsid w:val="002D7206"/>
    <w:rsid w:val="003331C3"/>
    <w:rsid w:val="00372A82"/>
    <w:rsid w:val="00382B78"/>
    <w:rsid w:val="003D479E"/>
    <w:rsid w:val="00480BF0"/>
    <w:rsid w:val="004A1BCC"/>
    <w:rsid w:val="0051423B"/>
    <w:rsid w:val="005709D8"/>
    <w:rsid w:val="005B2E1F"/>
    <w:rsid w:val="005C12B2"/>
    <w:rsid w:val="005C7A29"/>
    <w:rsid w:val="006051D5"/>
    <w:rsid w:val="00680722"/>
    <w:rsid w:val="006959DD"/>
    <w:rsid w:val="007A5A65"/>
    <w:rsid w:val="007D3461"/>
    <w:rsid w:val="007F485D"/>
    <w:rsid w:val="008A6E20"/>
    <w:rsid w:val="009F5077"/>
    <w:rsid w:val="00A9274C"/>
    <w:rsid w:val="00AB40D9"/>
    <w:rsid w:val="00B46572"/>
    <w:rsid w:val="00C57BF6"/>
    <w:rsid w:val="00C915F5"/>
    <w:rsid w:val="00D03C1A"/>
    <w:rsid w:val="00D26657"/>
    <w:rsid w:val="00D416BC"/>
    <w:rsid w:val="00DA0763"/>
    <w:rsid w:val="00DE1051"/>
    <w:rsid w:val="00F02D40"/>
    <w:rsid w:val="00F15F01"/>
    <w:rsid w:val="00F57F2D"/>
    <w:rsid w:val="00F7443F"/>
    <w:rsid w:val="0312439B"/>
    <w:rsid w:val="043A5B4A"/>
    <w:rsid w:val="056264BE"/>
    <w:rsid w:val="0E3D0E29"/>
    <w:rsid w:val="16077061"/>
    <w:rsid w:val="1C0B57E3"/>
    <w:rsid w:val="4F131D0D"/>
    <w:rsid w:val="55CE7859"/>
    <w:rsid w:val="602179A7"/>
    <w:rsid w:val="7027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customStyle="1" w:styleId="9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223</Words>
  <Characters>1276</Characters>
  <Lines>10</Lines>
  <Paragraphs>2</Paragraphs>
  <TotalTime>50</TotalTime>
  <ScaleCrop>false</ScaleCrop>
  <LinksUpToDate>false</LinksUpToDate>
  <CharactersWithSpaces>1497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2018-12-10T07:49:00Z</dcterms:created>
  <dc:creator>pc</dc:creator>
  <cp:lastModifiedBy>pc</cp:lastModifiedBy>
  <dcterms:modified xsi:type="dcterms:W3CDTF">2019-03-13T07:20:44Z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